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FF238" w14:textId="77777777" w:rsidR="001D2609" w:rsidRPr="001D2609" w:rsidRDefault="001D2609" w:rsidP="001D2609">
      <w:pPr>
        <w:pStyle w:val="Titre"/>
        <w:jc w:val="center"/>
        <w:rPr>
          <w:rFonts w:ascii="Diavlo Black" w:hAnsi="Diavlo Black"/>
          <w:sz w:val="24"/>
          <w:lang w:val="en-US"/>
        </w:rPr>
      </w:pPr>
      <w:r w:rsidRPr="001D2609">
        <w:rPr>
          <w:rFonts w:ascii="Diavlo Black" w:hAnsi="Diavlo Black"/>
          <w:sz w:val="24"/>
          <w:lang w:val="en-US"/>
        </w:rPr>
        <w:t>Real-Time Monitoring of the Crystal / Amorphous Transformation</w:t>
      </w:r>
    </w:p>
    <w:p w14:paraId="193C513F" w14:textId="7889AB83" w:rsidR="001D2609" w:rsidRPr="001D2609" w:rsidRDefault="007C7A37" w:rsidP="001D2609">
      <w:pPr>
        <w:pStyle w:val="Titre"/>
        <w:jc w:val="center"/>
        <w:rPr>
          <w:rFonts w:ascii="Diavlo Black" w:hAnsi="Diavlo Black"/>
          <w:sz w:val="24"/>
          <w:lang w:val="en-US"/>
        </w:rPr>
      </w:pPr>
      <w:proofErr w:type="gramStart"/>
      <w:r>
        <w:rPr>
          <w:rFonts w:ascii="Diavlo Black" w:hAnsi="Diavlo Black"/>
          <w:sz w:val="24"/>
          <w:lang w:val="en-US"/>
        </w:rPr>
        <w:t>i</w:t>
      </w:r>
      <w:r w:rsidR="001D2609" w:rsidRPr="001D2609">
        <w:rPr>
          <w:rFonts w:ascii="Diavlo Black" w:hAnsi="Diavlo Black"/>
          <w:sz w:val="24"/>
          <w:lang w:val="en-US"/>
        </w:rPr>
        <w:t>n</w:t>
      </w:r>
      <w:proofErr w:type="gramEnd"/>
      <w:r w:rsidR="001D2609" w:rsidRPr="001D2609">
        <w:rPr>
          <w:rFonts w:ascii="Diavlo Black" w:hAnsi="Diavlo Black"/>
          <w:sz w:val="24"/>
          <w:lang w:val="en-US"/>
        </w:rPr>
        <w:t xml:space="preserve"> the </w:t>
      </w:r>
      <w:r w:rsidR="001D2609" w:rsidRPr="001D2609">
        <w:rPr>
          <w:rFonts w:ascii="Calibri" w:hAnsi="Calibri" w:cs="Calibri"/>
          <w:sz w:val="24"/>
          <w:szCs w:val="20"/>
          <w:lang w:val="en-US"/>
        </w:rPr>
        <w:t>β</w:t>
      </w:r>
      <w:r w:rsidR="001D2609" w:rsidRPr="001D2609">
        <w:rPr>
          <w:rFonts w:ascii="Diavlo Black" w:hAnsi="Diavlo Black" w:cs="Times New Roman"/>
          <w:sz w:val="24"/>
          <w:szCs w:val="20"/>
          <w:lang w:val="en-US"/>
        </w:rPr>
        <w:t>-Trehalose</w:t>
      </w:r>
      <w:r w:rsidR="001D2609" w:rsidRPr="001D2609">
        <w:rPr>
          <w:rFonts w:ascii="Diavlo Black" w:eastAsia="Arial Unicode MS" w:hAnsi="Diavlo Black" w:cs="Arial Unicode MS"/>
          <w:sz w:val="24"/>
          <w:szCs w:val="20"/>
          <w:shd w:val="clear" w:color="auto" w:fill="FFFFFF"/>
          <w:lang w:val="en-US"/>
        </w:rPr>
        <w:t xml:space="preserve"> </w:t>
      </w:r>
      <w:r w:rsidR="001D2609" w:rsidRPr="001D2609">
        <w:rPr>
          <w:rFonts w:ascii="Diavlo Black" w:hAnsi="Diavlo Black"/>
          <w:sz w:val="24"/>
          <w:lang w:val="en-US"/>
        </w:rPr>
        <w:t>Molecular Compound</w:t>
      </w:r>
    </w:p>
    <w:p w14:paraId="3A059DF3" w14:textId="77777777" w:rsidR="001D2609" w:rsidRPr="000669F3" w:rsidRDefault="001D2609" w:rsidP="001D2609">
      <w:pPr>
        <w:rPr>
          <w:lang w:val="en-US"/>
        </w:rPr>
      </w:pPr>
    </w:p>
    <w:p w14:paraId="048958BC" w14:textId="77777777" w:rsidR="001D2609" w:rsidRPr="00C35FD6" w:rsidRDefault="001D2609" w:rsidP="001D2609">
      <w:pPr>
        <w:pStyle w:val="MCAuthor"/>
        <w:jc w:val="center"/>
        <w:rPr>
          <w:rFonts w:ascii="Times New Roman" w:hAnsi="Times New Roman"/>
          <w:b/>
        </w:rPr>
      </w:pPr>
      <w:r w:rsidRPr="00C35FD6">
        <w:rPr>
          <w:rFonts w:ascii="Times New Roman" w:hAnsi="Times New Roman"/>
          <w:b/>
          <w:bCs/>
          <w:u w:val="single"/>
        </w:rPr>
        <w:t>William Pagnoux</w:t>
      </w:r>
      <w:r w:rsidRPr="00C35FD6">
        <w:rPr>
          <w:rFonts w:ascii="Times New Roman" w:hAnsi="Times New Roman"/>
          <w:b/>
          <w:bCs/>
          <w:vertAlign w:val="superscript"/>
        </w:rPr>
        <w:t xml:space="preserve">1 </w:t>
      </w:r>
      <w:r w:rsidRPr="00C35FD6">
        <w:rPr>
          <w:rFonts w:ascii="Times New Roman" w:hAnsi="Times New Roman"/>
          <w:b/>
          <w:bCs/>
        </w:rPr>
        <w:t>, Pierre Bordet</w:t>
      </w:r>
      <w:r w:rsidRPr="00C35FD6">
        <w:rPr>
          <w:rFonts w:ascii="Times New Roman" w:hAnsi="Times New Roman"/>
          <w:b/>
          <w:bCs/>
          <w:vertAlign w:val="superscript"/>
        </w:rPr>
        <w:t>1</w:t>
      </w:r>
      <w:r w:rsidRPr="00C35FD6">
        <w:rPr>
          <w:rFonts w:ascii="Times New Roman" w:hAnsi="Times New Roman"/>
          <w:b/>
          <w:bCs/>
        </w:rPr>
        <w:t>, Pauline Martinetto</w:t>
      </w:r>
      <w:r w:rsidRPr="00C35FD6">
        <w:rPr>
          <w:rFonts w:ascii="Times New Roman" w:hAnsi="Times New Roman"/>
          <w:b/>
          <w:bCs/>
          <w:vertAlign w:val="superscript"/>
        </w:rPr>
        <w:t>1</w:t>
      </w:r>
      <w:r w:rsidRPr="00C35FD6">
        <w:rPr>
          <w:rFonts w:ascii="Times New Roman" w:hAnsi="Times New Roman"/>
          <w:b/>
          <w:bCs/>
        </w:rPr>
        <w:t xml:space="preserve">, </w:t>
      </w:r>
      <w:proofErr w:type="spellStart"/>
      <w:r w:rsidRPr="00C35FD6">
        <w:rPr>
          <w:rFonts w:ascii="Times New Roman" w:hAnsi="Times New Roman"/>
          <w:b/>
        </w:rPr>
        <w:t>Aleksei</w:t>
      </w:r>
      <w:proofErr w:type="spellEnd"/>
      <w:r w:rsidRPr="00C35FD6">
        <w:rPr>
          <w:rFonts w:ascii="Times New Roman" w:hAnsi="Times New Roman"/>
          <w:b/>
        </w:rPr>
        <w:t xml:space="preserve"> Bytchkov</w:t>
      </w:r>
      <w:r w:rsidRPr="000669F3">
        <w:rPr>
          <w:rFonts w:ascii="Times New Roman" w:hAnsi="Times New Roman"/>
          <w:b/>
          <w:vertAlign w:val="superscript"/>
        </w:rPr>
        <w:t>2</w:t>
      </w:r>
      <w:r>
        <w:rPr>
          <w:rFonts w:ascii="Times New Roman" w:hAnsi="Times New Roman"/>
          <w:b/>
        </w:rPr>
        <w:t xml:space="preserve">,             </w:t>
      </w:r>
      <w:r w:rsidRPr="00C35FD6">
        <w:rPr>
          <w:rFonts w:ascii="Times New Roman" w:hAnsi="Times New Roman"/>
          <w:b/>
          <w:bCs/>
        </w:rPr>
        <w:t xml:space="preserve"> Jean-François Willart</w:t>
      </w:r>
      <w:r w:rsidRPr="000669F3">
        <w:rPr>
          <w:rFonts w:ascii="Times New Roman" w:hAnsi="Times New Roman"/>
          <w:b/>
          <w:bCs/>
          <w:vertAlign w:val="superscript"/>
        </w:rPr>
        <w:t>3</w:t>
      </w:r>
      <w:r w:rsidRPr="00C35FD6">
        <w:rPr>
          <w:rFonts w:ascii="Times New Roman" w:hAnsi="Times New Roman"/>
          <w:b/>
          <w:bCs/>
        </w:rPr>
        <w:t>, Emeline Dudognon</w:t>
      </w:r>
      <w:r w:rsidRPr="000669F3">
        <w:rPr>
          <w:rFonts w:ascii="Times New Roman" w:hAnsi="Times New Roman"/>
          <w:b/>
          <w:bCs/>
          <w:vertAlign w:val="superscript"/>
        </w:rPr>
        <w:t>3</w:t>
      </w:r>
      <w:r w:rsidRPr="00C35FD6">
        <w:rPr>
          <w:rFonts w:ascii="Times New Roman" w:hAnsi="Times New Roman"/>
        </w:rPr>
        <w:t xml:space="preserve">, </w:t>
      </w:r>
      <w:r w:rsidRPr="000669F3">
        <w:rPr>
          <w:rFonts w:ascii="Times New Roman" w:hAnsi="Times New Roman"/>
          <w:b/>
        </w:rPr>
        <w:t>and</w:t>
      </w:r>
      <w:r w:rsidRPr="00C35FD6">
        <w:rPr>
          <w:rFonts w:ascii="Times New Roman" w:hAnsi="Times New Roman"/>
          <w:b/>
        </w:rPr>
        <w:t xml:space="preserve"> Marc Descamps</w:t>
      </w:r>
      <w:r w:rsidRPr="000669F3">
        <w:rPr>
          <w:rFonts w:ascii="Times New Roman" w:hAnsi="Times New Roman"/>
          <w:b/>
          <w:bCs/>
          <w:vertAlign w:val="superscript"/>
        </w:rPr>
        <w:t>3</w:t>
      </w:r>
    </w:p>
    <w:p w14:paraId="241DD587" w14:textId="77777777" w:rsidR="001D2609" w:rsidRPr="001D2609" w:rsidRDefault="001D2609" w:rsidP="001D2609">
      <w:pPr>
        <w:pStyle w:val="MCAuthorAffiliation"/>
        <w:spacing w:after="0"/>
        <w:jc w:val="center"/>
        <w:rPr>
          <w:rFonts w:ascii="Times New Roman" w:hAnsi="Times New Roman"/>
          <w:i/>
          <w:iCs/>
        </w:rPr>
      </w:pPr>
      <w:r w:rsidRPr="001D2609">
        <w:rPr>
          <w:rFonts w:ascii="Times New Roman" w:hAnsi="Times New Roman"/>
          <w:i/>
          <w:iCs/>
          <w:vertAlign w:val="superscript"/>
        </w:rPr>
        <w:t xml:space="preserve">1 </w:t>
      </w:r>
      <w:r w:rsidRPr="001D2609">
        <w:rPr>
          <w:rFonts w:ascii="Times New Roman" w:hAnsi="Times New Roman"/>
          <w:i/>
          <w:iCs/>
        </w:rPr>
        <w:t>Institut NEEL, CNRS-Université Grenoble Alpes, BP166, 38042 Grenoble cedex 9 France</w:t>
      </w:r>
    </w:p>
    <w:p w14:paraId="27955C7C" w14:textId="77777777" w:rsidR="001D2609" w:rsidRPr="000669F3" w:rsidRDefault="001D2609" w:rsidP="001D2609">
      <w:pPr>
        <w:pStyle w:val="MCAuthorAffiliation"/>
        <w:spacing w:after="0"/>
        <w:jc w:val="center"/>
        <w:rPr>
          <w:i/>
          <w:iCs/>
        </w:rPr>
      </w:pPr>
      <w:r w:rsidRPr="000669F3">
        <w:rPr>
          <w:rFonts w:ascii="Times New Roman" w:hAnsi="Times New Roman"/>
          <w:i/>
          <w:iCs/>
          <w:vertAlign w:val="superscript"/>
        </w:rPr>
        <w:t>2</w:t>
      </w:r>
      <w:r w:rsidRPr="000669F3">
        <w:rPr>
          <w:rFonts w:ascii="AdvOT2e364b11" w:hAnsi="AdvOT2e364b11" w:cs="AdvOT2e364b11"/>
          <w:kern w:val="0"/>
          <w:lang w:eastAsia="fr-FR"/>
        </w:rPr>
        <w:t xml:space="preserve"> </w:t>
      </w:r>
      <w:r w:rsidRPr="000669F3">
        <w:rPr>
          <w:i/>
          <w:iCs/>
        </w:rPr>
        <w:t>Institut Laue-Langevin, 6 rue Jules Horowitz, BP 156, F-38042 Grenoble, France</w:t>
      </w:r>
    </w:p>
    <w:p w14:paraId="2809BC9E" w14:textId="77777777" w:rsidR="001D2609" w:rsidRPr="001D2609" w:rsidRDefault="001D2609" w:rsidP="001D2609">
      <w:pPr>
        <w:pStyle w:val="MCAuthorAffiliation"/>
        <w:spacing w:after="0"/>
        <w:jc w:val="center"/>
        <w:rPr>
          <w:rFonts w:ascii="Times New Roman" w:hAnsi="Times New Roman"/>
          <w:i/>
          <w:iCs/>
          <w:lang w:val="en-US"/>
        </w:rPr>
      </w:pPr>
      <w:r w:rsidRPr="000669F3">
        <w:rPr>
          <w:rFonts w:ascii="Times New Roman" w:hAnsi="Times New Roman"/>
          <w:i/>
          <w:iCs/>
          <w:vertAlign w:val="superscript"/>
        </w:rPr>
        <w:t>3</w:t>
      </w:r>
      <w:r w:rsidRPr="000669F3">
        <w:rPr>
          <w:rFonts w:ascii="AdvOT2e364b11" w:hAnsi="AdvOT2e364b11" w:cs="AdvOT2e364b11"/>
          <w:kern w:val="0"/>
          <w:lang w:eastAsia="fr-FR"/>
        </w:rPr>
        <w:t xml:space="preserve"> </w:t>
      </w:r>
      <w:r w:rsidRPr="000669F3">
        <w:rPr>
          <w:i/>
          <w:iCs/>
        </w:rPr>
        <w:t xml:space="preserve">UMET, </w:t>
      </w:r>
      <w:proofErr w:type="spellStart"/>
      <w:r w:rsidRPr="000669F3">
        <w:rPr>
          <w:i/>
          <w:iCs/>
        </w:rPr>
        <w:t>Univ</w:t>
      </w:r>
      <w:proofErr w:type="spellEnd"/>
      <w:r w:rsidRPr="000669F3">
        <w:rPr>
          <w:i/>
          <w:iCs/>
        </w:rPr>
        <w:t xml:space="preserve">. </w:t>
      </w:r>
      <w:r w:rsidRPr="001D2609">
        <w:rPr>
          <w:i/>
          <w:iCs/>
          <w:lang w:val="en-US"/>
        </w:rPr>
        <w:t xml:space="preserve">Lille 1, F-59655 </w:t>
      </w:r>
      <w:r w:rsidRPr="001D2609">
        <w:rPr>
          <w:rFonts w:ascii="Times New Roman" w:hAnsi="Times New Roman"/>
          <w:i/>
          <w:iCs/>
          <w:lang w:val="en-US"/>
        </w:rPr>
        <w:t xml:space="preserve">Villeneuve </w:t>
      </w:r>
      <w:proofErr w:type="spellStart"/>
      <w:r w:rsidRPr="001D2609">
        <w:rPr>
          <w:rFonts w:ascii="Times New Roman" w:hAnsi="Times New Roman"/>
          <w:i/>
          <w:iCs/>
          <w:lang w:val="en-US"/>
        </w:rPr>
        <w:t>d’Ascq</w:t>
      </w:r>
      <w:proofErr w:type="spellEnd"/>
      <w:r w:rsidRPr="001D2609">
        <w:rPr>
          <w:rFonts w:ascii="Times New Roman" w:hAnsi="Times New Roman"/>
          <w:i/>
          <w:iCs/>
          <w:lang w:val="en-US"/>
        </w:rPr>
        <w:t>, France</w:t>
      </w:r>
    </w:p>
    <w:p w14:paraId="1895BC63" w14:textId="77777777" w:rsidR="001D2609" w:rsidRPr="001D2609" w:rsidRDefault="001D2609" w:rsidP="001D2609">
      <w:pPr>
        <w:rPr>
          <w:lang w:val="en-US"/>
        </w:rPr>
      </w:pPr>
    </w:p>
    <w:p w14:paraId="4368E447" w14:textId="77777777" w:rsidR="001D2609" w:rsidRPr="00D73AEA" w:rsidRDefault="001D2609" w:rsidP="001D2609">
      <w:pPr>
        <w:jc w:val="both"/>
        <w:rPr>
          <w:rFonts w:eastAsia="Arial Unicode MS" w:cs="Arial Unicode MS"/>
          <w:color w:val="000000" w:themeColor="text1"/>
          <w:sz w:val="24"/>
          <w:szCs w:val="20"/>
          <w:shd w:val="clear" w:color="auto" w:fill="FFFFFF"/>
          <w:lang w:val="en-US"/>
        </w:rPr>
      </w:pPr>
      <w:bookmarkStart w:id="0" w:name="_GoBack"/>
      <w:r w:rsidRPr="00D73AEA">
        <w:rPr>
          <w:rFonts w:eastAsia="Arial Unicode MS" w:cs="Arial Unicode MS"/>
          <w:color w:val="000000" w:themeColor="text1"/>
          <w:sz w:val="24"/>
          <w:szCs w:val="24"/>
          <w:shd w:val="clear" w:color="auto" w:fill="FFFFFF"/>
          <w:lang w:val="en-US"/>
        </w:rPr>
        <w:t>A vast majority of “new” pharmaceutical compounds, in their crystalline form, are poorly soluble in water and need to be ground during the industrial fabrication process. These molecular crystals can undergo solid state transformations induced by the external stress, one of the most important being amorphization, known to generally improve bioavailability. Formulating drugs in the amorphous state is considered to be one of the most promising methods to improve dissolution properties. However, one main issue is the lack of understanding of the</w:t>
      </w:r>
      <w:r w:rsidRPr="00D73AEA">
        <w:rPr>
          <w:rFonts w:eastAsia="Arial Unicode MS" w:cs="Arial Unicode MS"/>
          <w:color w:val="000000" w:themeColor="text1"/>
          <w:sz w:val="24"/>
          <w:szCs w:val="20"/>
          <w:shd w:val="clear" w:color="auto" w:fill="FFFFFF"/>
          <w:lang w:val="en-US"/>
        </w:rPr>
        <w:t xml:space="preserve"> crystal-to-amorphous transformation</w:t>
      </w:r>
      <w:r w:rsidRPr="00D73AEA">
        <w:rPr>
          <w:rFonts w:eastAsia="Arial Unicode MS" w:cs="Arial Unicode MS"/>
          <w:color w:val="000000" w:themeColor="text1"/>
          <w:sz w:val="24"/>
          <w:szCs w:val="24"/>
          <w:shd w:val="clear" w:color="auto" w:fill="FFFFFF"/>
          <w:lang w:val="en-US"/>
        </w:rPr>
        <w:t xml:space="preserve"> </w:t>
      </w:r>
      <w:r w:rsidRPr="00D73AEA">
        <w:rPr>
          <w:rFonts w:eastAsia="Arial Unicode MS" w:cs="Arial Unicode MS"/>
          <w:color w:val="000000" w:themeColor="text1"/>
          <w:sz w:val="24"/>
          <w:szCs w:val="20"/>
          <w:shd w:val="clear" w:color="auto" w:fill="FFFFFF"/>
          <w:lang w:val="en-US"/>
        </w:rPr>
        <w:t xml:space="preserve">mechanism. </w:t>
      </w:r>
    </w:p>
    <w:p w14:paraId="2A0A481E" w14:textId="50675B85" w:rsidR="001D2609" w:rsidRPr="00D73AEA" w:rsidRDefault="00D73AEA" w:rsidP="001D2609">
      <w:pPr>
        <w:jc w:val="both"/>
        <w:rPr>
          <w:rFonts w:cs="Times New Roman"/>
          <w:color w:val="000000" w:themeColor="text1"/>
          <w:sz w:val="24"/>
          <w:szCs w:val="20"/>
          <w:lang w:val="en-US"/>
        </w:rPr>
      </w:pPr>
      <w:r w:rsidRPr="00D73AEA">
        <w:rPr>
          <w:color w:val="000000" w:themeColor="text1"/>
          <w:sz w:val="24"/>
          <w:szCs w:val="24"/>
          <w:lang w:val="en-US"/>
        </w:rPr>
        <w:t>Since now,</w:t>
      </w:r>
      <w:r w:rsidRPr="00D73AEA">
        <w:rPr>
          <w:color w:val="000000" w:themeColor="text1"/>
          <w:sz w:val="24"/>
          <w:szCs w:val="24"/>
          <w:lang w:val="en-US"/>
        </w:rPr>
        <w:t xml:space="preserve"> the</w:t>
      </w:r>
      <w:r w:rsidRPr="00D73AEA">
        <w:rPr>
          <w:color w:val="000000" w:themeColor="text1"/>
          <w:sz w:val="24"/>
          <w:szCs w:val="24"/>
          <w:lang w:val="en-US"/>
        </w:rPr>
        <w:t xml:space="preserve"> structural information on this transformation were obtained using </w:t>
      </w:r>
      <w:r w:rsidRPr="00D73AEA">
        <w:rPr>
          <w:i/>
          <w:iCs/>
          <w:color w:val="000000" w:themeColor="text1"/>
          <w:sz w:val="24"/>
          <w:szCs w:val="24"/>
          <w:lang w:val="en-US"/>
        </w:rPr>
        <w:t>ex-situ</w:t>
      </w:r>
      <w:r w:rsidRPr="00D73AEA">
        <w:rPr>
          <w:color w:val="000000" w:themeColor="text1"/>
          <w:sz w:val="24"/>
          <w:szCs w:val="24"/>
          <w:lang w:val="en-US"/>
        </w:rPr>
        <w:t xml:space="preserve"> PXRD techniques. </w:t>
      </w:r>
      <w:r w:rsidR="001D2609" w:rsidRPr="00D73AEA">
        <w:rPr>
          <w:rFonts w:eastAsia="Arial Unicode MS" w:cs="Arial Unicode MS"/>
          <w:color w:val="000000" w:themeColor="text1"/>
          <w:sz w:val="24"/>
          <w:szCs w:val="20"/>
          <w:shd w:val="clear" w:color="auto" w:fill="FFFFFF"/>
          <w:lang w:val="en-US"/>
        </w:rPr>
        <w:t xml:space="preserve">In this work, we have investigated </w:t>
      </w:r>
      <w:r w:rsidR="001D2609" w:rsidRPr="00D73AEA">
        <w:rPr>
          <w:rFonts w:eastAsia="Arial Unicode MS" w:cs="Arial Unicode MS"/>
          <w:i/>
          <w:color w:val="000000" w:themeColor="text1"/>
          <w:sz w:val="24"/>
          <w:szCs w:val="20"/>
          <w:shd w:val="clear" w:color="auto" w:fill="FFFFFF"/>
          <w:lang w:val="en-US"/>
        </w:rPr>
        <w:t>in situ</w:t>
      </w:r>
      <w:r w:rsidR="001D2609" w:rsidRPr="00D73AEA">
        <w:rPr>
          <w:rFonts w:eastAsia="Arial Unicode MS" w:cs="Arial Unicode MS"/>
          <w:color w:val="000000" w:themeColor="text1"/>
          <w:sz w:val="24"/>
          <w:szCs w:val="20"/>
          <w:shd w:val="clear" w:color="auto" w:fill="FFFFFF"/>
          <w:lang w:val="en-US"/>
        </w:rPr>
        <w:t xml:space="preserve"> the evolution of the structure and microstructure of </w:t>
      </w:r>
      <w:r w:rsidR="001D2609" w:rsidRPr="00D73AEA">
        <w:rPr>
          <w:rFonts w:cs="Times New Roman"/>
          <w:color w:val="000000" w:themeColor="text1"/>
          <w:sz w:val="24"/>
          <w:szCs w:val="20"/>
          <w:lang w:val="en-US"/>
        </w:rPr>
        <w:t>β-Trehalose</w:t>
      </w:r>
      <w:r w:rsidRPr="00D73AEA">
        <w:rPr>
          <w:color w:val="000000" w:themeColor="text1"/>
          <w:sz w:val="24"/>
          <w:szCs w:val="24"/>
          <w:shd w:val="clear" w:color="auto" w:fill="FFFFFF"/>
          <w:lang w:val="en-US"/>
        </w:rPr>
        <w:t xml:space="preserve"> during the milling itself. This provides a deeper </w:t>
      </w:r>
      <w:r w:rsidR="001D2609" w:rsidRPr="00D73AEA">
        <w:rPr>
          <w:rFonts w:eastAsia="Arial Unicode MS" w:cs="Arial Unicode MS"/>
          <w:color w:val="000000" w:themeColor="text1"/>
          <w:sz w:val="24"/>
          <w:szCs w:val="20"/>
          <w:shd w:val="clear" w:color="auto" w:fill="FFFFFF"/>
          <w:lang w:val="en-US"/>
        </w:rPr>
        <w:t xml:space="preserve">insight into the amorphisation and recrystallization processes. This model molecular compound is well </w:t>
      </w:r>
      <w:r w:rsidR="001D2609" w:rsidRPr="00D73AEA">
        <w:rPr>
          <w:rFonts w:cs="Times New Roman"/>
          <w:color w:val="000000" w:themeColor="text1"/>
          <w:sz w:val="24"/>
          <w:szCs w:val="20"/>
          <w:lang w:val="en-US"/>
        </w:rPr>
        <w:t xml:space="preserve">known to </w:t>
      </w:r>
      <w:proofErr w:type="spellStart"/>
      <w:r w:rsidR="001D2609" w:rsidRPr="00D73AEA">
        <w:rPr>
          <w:rFonts w:cs="Times New Roman"/>
          <w:color w:val="000000" w:themeColor="text1"/>
          <w:sz w:val="24"/>
          <w:szCs w:val="20"/>
          <w:lang w:val="en-US"/>
        </w:rPr>
        <w:t>amorphize</w:t>
      </w:r>
      <w:proofErr w:type="spellEnd"/>
      <w:r w:rsidR="001D2609" w:rsidRPr="00D73AEA">
        <w:rPr>
          <w:rFonts w:cs="Times New Roman"/>
          <w:color w:val="000000" w:themeColor="text1"/>
          <w:sz w:val="24"/>
          <w:szCs w:val="20"/>
          <w:lang w:val="en-US"/>
        </w:rPr>
        <w:t xml:space="preserve"> upon milling</w:t>
      </w:r>
      <w:r w:rsidR="001D2609" w:rsidRPr="00D73AEA">
        <w:rPr>
          <w:rFonts w:cs="Times New Roman"/>
          <w:color w:val="000000" w:themeColor="text1"/>
          <w:sz w:val="24"/>
          <w:szCs w:val="20"/>
          <w:lang w:val="en-US"/>
        </w:rPr>
        <w:fldChar w:fldCharType="begin" w:fldLock="1"/>
      </w:r>
      <w:r w:rsidR="001D2609" w:rsidRPr="00D73AEA">
        <w:rPr>
          <w:rFonts w:cs="Times New Roman"/>
          <w:color w:val="000000" w:themeColor="text1"/>
          <w:sz w:val="24"/>
          <w:szCs w:val="20"/>
          <w:lang w:val="en-US"/>
        </w:rPr>
        <w:instrText>ADDIN CSL_CITATION { "citationItems" : [ { "id" : "ITEM-1", "itemData" : { "DOI" : "10.1016/S0038-1098(01)00283-6", "ISBN" : "0038-1098", "ISSN" : "00381098", "abstract" : "Structural and thermodynamic changes in the organic molecular crystal of trehalose upon high energy ball milling have been studied. The investigations have been performed by X-ray diffraction and by differential scanning calorimetry. The results show that mechanical milling induces a direct transformation from crystal to glass. It is underlined that glassy amorphous trehalose can also be produced by two other independent routes: the thermal quench of the liquid state and the dehydration of the dihydrate form of trehalose. This makes trehalose a promising molecular crystal for the fundamental study of the solid state amorphization processes themselves. \u00a9 2001 Elsevier Science Ltd. All rights reserved.", "author" : [ { "dropping-particle" : "", "family" : "Willart", "given" : "J. F.", "non-dropping-particle" : "", "parse-names" : false, "suffix" : "" }, { "dropping-particle" : "", "family" : "Gusseme", "given" : "a.", "non-dropping-particle" : "De", "parse-names" : false, "suffix" : "" }, { "dropping-particle" : "", "family" : "Hemon", "given" : "S.", "non-dropping-particle" : "", "parse-names" : false, "suffix" : "" }, { "dropping-particle" : "", "family" : "Odou", "given" : "G.", "non-dropping-particle" : "", "parse-names" : false, "suffix" : "" }, { "dropping-particle" : "", "family" : "Danede", "given" : "F.", "non-dropping-particle" : "", "parse-names" : false, "suffix" : "" }, { "dropping-particle" : "", "family" : "Descamps", "given" : "M.", "non-dropping-particle" : "", "parse-names" : false, "suffix" : "" } ], "container-title" : "Solid State Communications", "id" : "ITEM-1", "issue" : "8-9", "issued" : { "date-parts" : [ [ "2001" ] ] }, "page" : "501-505", "title" : "Direct crystal to glass transformation of trehalose induced by ball milling", "type" : "article-journal", "volume" : "119" }, "uris" : [ "http://www.mendeley.com/documents/?uuid=2ee8f118-b05c-4bfb-b15a-aca36bfb5daf" ] } ], "mendeley" : { "formattedCitation" : "&lt;sup&gt;1&lt;/sup&gt;", "plainTextFormattedCitation" : "1", "previouslyFormattedCitation" : "&lt;sup&gt;1&lt;/sup&gt;" }, "properties" : { "noteIndex" : 0 }, "schema" : "https://github.com/citation-style-language/schema/raw/master/csl-citation.json" }</w:instrText>
      </w:r>
      <w:r w:rsidR="001D2609" w:rsidRPr="00D73AEA">
        <w:rPr>
          <w:rFonts w:cs="Times New Roman"/>
          <w:color w:val="000000" w:themeColor="text1"/>
          <w:sz w:val="24"/>
          <w:szCs w:val="20"/>
          <w:lang w:val="en-US"/>
        </w:rPr>
        <w:fldChar w:fldCharType="separate"/>
      </w:r>
      <w:r w:rsidR="001D2609" w:rsidRPr="00D73AEA">
        <w:rPr>
          <w:rFonts w:cs="Times New Roman"/>
          <w:noProof/>
          <w:color w:val="000000" w:themeColor="text1"/>
          <w:sz w:val="24"/>
          <w:szCs w:val="20"/>
          <w:vertAlign w:val="superscript"/>
          <w:lang w:val="en-US"/>
        </w:rPr>
        <w:t>1</w:t>
      </w:r>
      <w:r w:rsidR="001D2609" w:rsidRPr="00D73AEA">
        <w:rPr>
          <w:rFonts w:cs="Times New Roman"/>
          <w:color w:val="000000" w:themeColor="text1"/>
          <w:sz w:val="24"/>
          <w:szCs w:val="20"/>
          <w:lang w:val="en-US"/>
        </w:rPr>
        <w:fldChar w:fldCharType="end"/>
      </w:r>
      <w:r w:rsidR="001D2609" w:rsidRPr="00D73AEA">
        <w:rPr>
          <w:rFonts w:cs="Times New Roman"/>
          <w:color w:val="000000" w:themeColor="text1"/>
          <w:sz w:val="24"/>
          <w:szCs w:val="20"/>
          <w:lang w:val="en-US"/>
        </w:rPr>
        <w:t>. We used Rietveld refinement and PDF analysis of high energy PXRD data. The former allows investigating the structure and microstructure but is limited to at least partly crystalline materials, while the latter can bring continuous information on particle size and internal arrangement whatever the crystallization state. Data were measured ex situ at the CRISTAL synchrotron beam line at SOLEIL and in situ as function of grinding time (ID15-ESRF) and temperature (ID11-ESRF). Samples were previously submitted to high energy milling for increasing times and characterized by DSC, Raman spectroscopy and laboratory PXRD. For the ID15 experiment, an oscillating milling device equipped with Perspex sample containing jars and zirconia balls was used</w:t>
      </w:r>
      <w:r w:rsidR="001D2609" w:rsidRPr="00D73AEA">
        <w:rPr>
          <w:color w:val="000000" w:themeColor="text1"/>
          <w:sz w:val="24"/>
          <w:szCs w:val="24"/>
          <w:lang w:val="en-US"/>
        </w:rPr>
        <w:fldChar w:fldCharType="begin" w:fldLock="1"/>
      </w:r>
      <w:r w:rsidR="001D2609" w:rsidRPr="00D73AEA">
        <w:rPr>
          <w:color w:val="000000" w:themeColor="text1"/>
          <w:sz w:val="24"/>
          <w:szCs w:val="24"/>
          <w:lang w:val="en-US"/>
        </w:rPr>
        <w:instrText>ADDIN CSL_CITATION { "citationItems" : [ { "id" : "ITEM-1", "itemData" : { "DOI" : "10.1002/anie.201305928", "ISSN" : "14337851", "PMID" : "24108571", "abstract" : "Looking in: The penetrating power of high-energy X-rays provides a means to monitor in situ and in real time the course of ball-milling reactions of organic pharmaceutical solids by detecting crystalline phases and assessing the evolution of their particle sizes. Upon switching from neat grinding to liquid-assisted grinding, cocrystal formation is enabled or tremendously accelerated, while the reaction mechanism alters its course.", "author" : [ { "dropping-particle" : "", "family" : "Fri\u0161\u010dic\u0308", "given" : "Tomislav", "non-dropping-particle" : "", "parse-names" : false, "suffix" : "" }, { "dropping-particle" : "", "family" : "Jones", "given" : "William", "non-dropping-particle" : "", "parse-names" : false, "suffix" : "" }, { "dropping-particle" : "", "family" : "\u0160trukil", "given" : "Vjekoslav", "non-dropping-particle" : "", "parse-names" : false, "suffix" : "" }, { "dropping-particle" : "", "family" : "Halasz", "given" : "Ivan", "non-dropping-particle" : "", "parse-names" : false, "suffix" : "" } ], "container-title" : "Angewandte Chemie - International Edition", "id" : "ITEM-1", "issue" : "44", "issued" : { "date-parts" : [ [ "2013" ] ] }, "page" : "11538-11541", "title" : "Real-time in situ powder X-ray diffraction monitoring of mechanochemical synthesis of pharmaceutical cocrystals", "type" : "article-journal", "volume" : "52" }, "uris" : [ "http://www.mendeley.com/documents/?uuid=a4f5fb0b-22d1-4ea1-9399-46d169a25a07" ] } ], "mendeley" : { "formattedCitation" : "&lt;sup&gt;2&lt;/sup&gt;", "plainTextFormattedCitation" : "2", "previouslyFormattedCitation" : "&lt;sup&gt;2&lt;/sup&gt;" }, "properties" : { "noteIndex" : 0 }, "schema" : "https://github.com/citation-style-language/schema/raw/master/csl-citation.json" }</w:instrText>
      </w:r>
      <w:r w:rsidR="001D2609" w:rsidRPr="00D73AEA">
        <w:rPr>
          <w:color w:val="000000" w:themeColor="text1"/>
          <w:sz w:val="24"/>
          <w:szCs w:val="24"/>
          <w:lang w:val="en-US"/>
        </w:rPr>
        <w:fldChar w:fldCharType="separate"/>
      </w:r>
      <w:r w:rsidR="001D2609" w:rsidRPr="00D73AEA">
        <w:rPr>
          <w:noProof/>
          <w:color w:val="000000" w:themeColor="text1"/>
          <w:sz w:val="24"/>
          <w:szCs w:val="24"/>
          <w:vertAlign w:val="superscript"/>
          <w:lang w:val="en-US"/>
        </w:rPr>
        <w:t>2</w:t>
      </w:r>
      <w:r w:rsidR="001D2609" w:rsidRPr="00D73AEA">
        <w:rPr>
          <w:color w:val="000000" w:themeColor="text1"/>
          <w:sz w:val="24"/>
          <w:szCs w:val="24"/>
          <w:lang w:val="en-US"/>
        </w:rPr>
        <w:fldChar w:fldCharType="end"/>
      </w:r>
      <w:r w:rsidR="001D2609" w:rsidRPr="00D73AEA">
        <w:rPr>
          <w:rFonts w:cs="Times New Roman"/>
          <w:color w:val="000000" w:themeColor="text1"/>
          <w:sz w:val="24"/>
          <w:szCs w:val="20"/>
          <w:lang w:val="en-US"/>
        </w:rPr>
        <w:t>.</w:t>
      </w:r>
    </w:p>
    <w:p w14:paraId="677D75F2" w14:textId="6324F8C6" w:rsidR="001D2609" w:rsidRPr="00D73AEA" w:rsidRDefault="001D2609" w:rsidP="001D2609">
      <w:pPr>
        <w:jc w:val="both"/>
        <w:rPr>
          <w:color w:val="000000" w:themeColor="text1"/>
          <w:sz w:val="24"/>
          <w:szCs w:val="24"/>
          <w:lang w:val="en-US"/>
        </w:rPr>
      </w:pPr>
      <w:r w:rsidRPr="00D73AEA">
        <w:rPr>
          <w:color w:val="000000" w:themeColor="text1"/>
          <w:sz w:val="24"/>
          <w:szCs w:val="24"/>
          <w:lang w:val="en-US"/>
        </w:rPr>
        <w:t xml:space="preserve">Our study demonstrates that amorphization by energy milling is a 2 phase process, with immediate appearance of an amorphous fraction increasing with milling time, while the proportion and domain size of the remaining “crystalline” fraction decreases. High resolution data seem to indicate a modification of the local structure upon amorphisation, and temperature dependent data (figure) confirm a similar effect for </w:t>
      </w:r>
      <w:r w:rsidR="00D73AEA" w:rsidRPr="00D73AEA">
        <w:rPr>
          <w:color w:val="000000" w:themeColor="text1"/>
          <w:sz w:val="24"/>
          <w:szCs w:val="24"/>
          <w:lang w:val="en-US"/>
        </w:rPr>
        <w:t>the abrupt recrystallization occurring upon heating.</w:t>
      </w:r>
      <w:r w:rsidRPr="00D73AEA">
        <w:rPr>
          <w:color w:val="000000" w:themeColor="text1"/>
          <w:sz w:val="24"/>
          <w:szCs w:val="24"/>
          <w:lang w:val="en-US"/>
        </w:rPr>
        <w:t xml:space="preserve"> The results of our investigations will be detailed during the conference.</w:t>
      </w:r>
    </w:p>
    <w:p w14:paraId="5322B6F4" w14:textId="4C22A10C" w:rsidR="001D2609" w:rsidRPr="00D73AEA" w:rsidRDefault="001D2609" w:rsidP="001D2609">
      <w:pPr>
        <w:jc w:val="both"/>
        <w:rPr>
          <w:color w:val="000000" w:themeColor="text1"/>
          <w:sz w:val="24"/>
          <w:szCs w:val="24"/>
          <w:lang w:val="en-US"/>
        </w:rPr>
      </w:pPr>
      <w:r w:rsidRPr="00D73AEA">
        <w:rPr>
          <w:color w:val="000000" w:themeColor="text1"/>
          <w:sz w:val="24"/>
          <w:szCs w:val="24"/>
          <w:lang w:val="en-US"/>
        </w:rPr>
        <w:t>This work is f</w:t>
      </w:r>
      <w:r w:rsidR="00E80F36">
        <w:rPr>
          <w:color w:val="000000" w:themeColor="text1"/>
          <w:sz w:val="24"/>
          <w:szCs w:val="24"/>
          <w:lang w:val="en-US"/>
        </w:rPr>
        <w:t xml:space="preserve">und by the ANR project </w:t>
      </w:r>
      <w:proofErr w:type="spellStart"/>
      <w:r w:rsidR="00E80F36">
        <w:rPr>
          <w:color w:val="000000" w:themeColor="text1"/>
          <w:sz w:val="24"/>
          <w:szCs w:val="24"/>
          <w:lang w:val="en-US"/>
        </w:rPr>
        <w:t>MiPhaSol</w:t>
      </w:r>
      <w:proofErr w:type="spellEnd"/>
      <w:r w:rsidR="00E80F36">
        <w:rPr>
          <w:color w:val="000000" w:themeColor="text1"/>
          <w:sz w:val="24"/>
          <w:szCs w:val="24"/>
          <w:lang w:val="en-US"/>
        </w:rPr>
        <w:t xml:space="preserve"> </w:t>
      </w:r>
      <w:r w:rsidR="00E80F36" w:rsidRPr="00E80F36">
        <w:rPr>
          <w:color w:val="000000" w:themeColor="text1"/>
          <w:sz w:val="24"/>
          <w:szCs w:val="24"/>
          <w:lang w:val="en-US"/>
        </w:rPr>
        <w:t>ANR-12-BS08-0008</w:t>
      </w:r>
    </w:p>
    <w:p w14:paraId="75D19A03" w14:textId="77777777" w:rsidR="001D2609" w:rsidRPr="00D73AEA" w:rsidRDefault="001D2609" w:rsidP="001D2609">
      <w:pPr>
        <w:pStyle w:val="MCReference"/>
        <w:rPr>
          <w:rFonts w:asciiTheme="minorHAnsi" w:hAnsiTheme="minorHAnsi"/>
          <w:color w:val="000000" w:themeColor="text1"/>
          <w:lang w:val="en-US"/>
        </w:rPr>
      </w:pPr>
      <w:r w:rsidRPr="00D73AEA">
        <w:rPr>
          <w:rFonts w:asciiTheme="minorHAnsi" w:hAnsiTheme="minorHAnsi"/>
          <w:color w:val="000000" w:themeColor="text1"/>
          <w:lang w:val="en-US"/>
        </w:rPr>
        <w:t>[1] J. F. Willart, et al., Solid State Communications 119 (2001) 501</w:t>
      </w:r>
    </w:p>
    <w:p w14:paraId="050E4A19" w14:textId="77777777" w:rsidR="001D2609" w:rsidRDefault="001D2609" w:rsidP="001D2609">
      <w:pPr>
        <w:rPr>
          <w:sz w:val="24"/>
          <w:szCs w:val="24"/>
          <w:lang w:val="en-US"/>
        </w:rPr>
      </w:pPr>
      <w:r w:rsidRPr="00D73AEA">
        <w:rPr>
          <w:color w:val="000000" w:themeColor="text1"/>
          <w:sz w:val="24"/>
          <w:szCs w:val="24"/>
          <w:lang w:val="en-US"/>
        </w:rPr>
        <w:t xml:space="preserve">[2] T. </w:t>
      </w:r>
      <w:proofErr w:type="spellStart"/>
      <w:r w:rsidRPr="00D73AEA">
        <w:rPr>
          <w:color w:val="000000" w:themeColor="text1"/>
          <w:sz w:val="24"/>
          <w:szCs w:val="24"/>
          <w:lang w:val="en-US"/>
        </w:rPr>
        <w:t>Friščić</w:t>
      </w:r>
      <w:proofErr w:type="spellEnd"/>
      <w:r w:rsidRPr="00D73AEA">
        <w:rPr>
          <w:color w:val="000000" w:themeColor="text1"/>
          <w:sz w:val="24"/>
          <w:szCs w:val="24"/>
          <w:lang w:val="en-US"/>
        </w:rPr>
        <w:t xml:space="preserve">, I. </w:t>
      </w:r>
      <w:proofErr w:type="spellStart"/>
      <w:r w:rsidRPr="00D73AEA">
        <w:rPr>
          <w:color w:val="000000" w:themeColor="text1"/>
          <w:sz w:val="24"/>
          <w:szCs w:val="24"/>
          <w:lang w:val="en-US"/>
        </w:rPr>
        <w:t>Halasz</w:t>
      </w:r>
      <w:proofErr w:type="spellEnd"/>
      <w:r w:rsidRPr="00D73AEA">
        <w:rPr>
          <w:color w:val="000000" w:themeColor="text1"/>
          <w:sz w:val="24"/>
          <w:szCs w:val="24"/>
          <w:lang w:val="en-US"/>
        </w:rPr>
        <w:t xml:space="preserve">, W. Jones &amp; al., </w:t>
      </w:r>
      <w:proofErr w:type="spellStart"/>
      <w:r w:rsidRPr="00D73AEA">
        <w:rPr>
          <w:color w:val="000000" w:themeColor="text1"/>
          <w:sz w:val="24"/>
          <w:szCs w:val="24"/>
          <w:lang w:val="en-US"/>
        </w:rPr>
        <w:t>Angew</w:t>
      </w:r>
      <w:proofErr w:type="spellEnd"/>
      <w:r w:rsidRPr="00D73AEA">
        <w:rPr>
          <w:color w:val="000000" w:themeColor="text1"/>
          <w:sz w:val="24"/>
          <w:szCs w:val="24"/>
          <w:lang w:val="en-US"/>
        </w:rPr>
        <w:t xml:space="preserve">. </w:t>
      </w:r>
      <w:proofErr w:type="spellStart"/>
      <w:r w:rsidRPr="00D73AEA">
        <w:rPr>
          <w:color w:val="000000" w:themeColor="text1"/>
          <w:sz w:val="24"/>
          <w:szCs w:val="24"/>
          <w:lang w:val="en-US"/>
        </w:rPr>
        <w:t>Chemie</w:t>
      </w:r>
      <w:proofErr w:type="spellEnd"/>
      <w:r w:rsidRPr="00D73AEA">
        <w:rPr>
          <w:color w:val="000000" w:themeColor="text1"/>
          <w:sz w:val="24"/>
          <w:szCs w:val="24"/>
          <w:lang w:val="en-US"/>
        </w:rPr>
        <w:t xml:space="preserve"> - Int. Ed. 2013, 52 (44)</w:t>
      </w:r>
      <w:bookmarkEnd w:id="0"/>
      <w:r>
        <w:rPr>
          <w:sz w:val="24"/>
          <w:szCs w:val="24"/>
          <w:lang w:val="en-US"/>
        </w:rPr>
        <w:br w:type="page"/>
      </w:r>
    </w:p>
    <w:p w14:paraId="103D4EDE" w14:textId="77777777" w:rsidR="00A34E9A" w:rsidRDefault="001D2609" w:rsidP="001D2609">
      <w:pPr>
        <w:rPr>
          <w:sz w:val="24"/>
          <w:szCs w:val="24"/>
        </w:rPr>
      </w:pPr>
      <w:r>
        <w:rPr>
          <w:noProof/>
          <w:sz w:val="24"/>
          <w:szCs w:val="24"/>
          <w:lang w:eastAsia="fr-FR"/>
        </w:rPr>
        <w:lastRenderedPageBreak/>
        <w:drawing>
          <wp:inline distT="0" distB="0" distL="0" distR="0" wp14:anchorId="02331477" wp14:editId="7CA4CAFB">
            <wp:extent cx="5760720" cy="38995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99535"/>
                    </a:xfrm>
                    <a:prstGeom prst="rect">
                      <a:avLst/>
                    </a:prstGeom>
                  </pic:spPr>
                </pic:pic>
              </a:graphicData>
            </a:graphic>
          </wp:inline>
        </w:drawing>
      </w:r>
    </w:p>
    <w:p w14:paraId="1B074D74" w14:textId="77777777" w:rsidR="001D2609" w:rsidRPr="001D2609" w:rsidRDefault="001D2609" w:rsidP="001D2609">
      <w:pPr>
        <w:rPr>
          <w:sz w:val="24"/>
          <w:szCs w:val="24"/>
          <w:lang w:val="en-US"/>
        </w:rPr>
      </w:pPr>
      <w:r w:rsidRPr="001D2609">
        <w:rPr>
          <w:sz w:val="24"/>
          <w:szCs w:val="24"/>
          <w:lang w:val="en-US"/>
        </w:rPr>
        <w:t xml:space="preserve">Figure: Temperature-dependent PXRD (left) and PDF (right) data of a 3h milled </w:t>
      </w:r>
      <w:r w:rsidRPr="001D2609">
        <w:rPr>
          <w:sz w:val="24"/>
          <w:szCs w:val="24"/>
        </w:rPr>
        <w:t>β</w:t>
      </w:r>
      <w:r w:rsidRPr="001D2609">
        <w:rPr>
          <w:sz w:val="24"/>
          <w:szCs w:val="24"/>
          <w:lang w:val="en-US"/>
        </w:rPr>
        <w:t>-Trehalose sample, measured on heating at 3K/min on ID11-ESRF.</w:t>
      </w:r>
    </w:p>
    <w:sectPr w:rsidR="001D2609" w:rsidRPr="001D2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0">
    <w:charset w:val="00"/>
    <w:family w:val="auto"/>
    <w:pitch w:val="variable"/>
  </w:font>
  <w:font w:name="Diavlo Black">
    <w:altName w:val="Arial"/>
    <w:panose1 w:val="00000000000000000000"/>
    <w:charset w:val="00"/>
    <w:family w:val="modern"/>
    <w:notTrueType/>
    <w:pitch w:val="variable"/>
    <w:sig w:usb0="800000AF" w:usb1="4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vOT2e364b11">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09"/>
    <w:rsid w:val="0002115D"/>
    <w:rsid w:val="001C3529"/>
    <w:rsid w:val="001D2609"/>
    <w:rsid w:val="001F49BC"/>
    <w:rsid w:val="00240F7D"/>
    <w:rsid w:val="002B00F1"/>
    <w:rsid w:val="002D6CFC"/>
    <w:rsid w:val="00500057"/>
    <w:rsid w:val="005817F1"/>
    <w:rsid w:val="005A2163"/>
    <w:rsid w:val="005D6410"/>
    <w:rsid w:val="00692A74"/>
    <w:rsid w:val="007C7A37"/>
    <w:rsid w:val="008E6C67"/>
    <w:rsid w:val="00A34E9A"/>
    <w:rsid w:val="00BC7913"/>
    <w:rsid w:val="00BF18BA"/>
    <w:rsid w:val="00D73AEA"/>
    <w:rsid w:val="00E80F36"/>
    <w:rsid w:val="00FF4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197F"/>
  <w15:chartTrackingRefBased/>
  <w15:docId w15:val="{F217D987-A1B7-4862-976B-B8DE1AB1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0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D26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D2609"/>
    <w:rPr>
      <w:rFonts w:asciiTheme="majorHAnsi" w:eastAsiaTheme="majorEastAsia" w:hAnsiTheme="majorHAnsi" w:cstheme="majorBidi"/>
      <w:spacing w:val="-10"/>
      <w:kern w:val="28"/>
      <w:sz w:val="56"/>
      <w:szCs w:val="56"/>
    </w:rPr>
  </w:style>
  <w:style w:type="paragraph" w:customStyle="1" w:styleId="MCReference">
    <w:name w:val="MC Reference"/>
    <w:basedOn w:val="Normal"/>
    <w:rsid w:val="001D2609"/>
    <w:pPr>
      <w:widowControl w:val="0"/>
      <w:suppressAutoHyphens/>
      <w:spacing w:after="200" w:line="240" w:lineRule="auto"/>
    </w:pPr>
    <w:rPr>
      <w:rFonts w:ascii="Cambria" w:eastAsia="Lucida Sans Unicode" w:hAnsi="Cambria" w:cs="font320"/>
      <w:kern w:val="1"/>
      <w:sz w:val="24"/>
      <w:szCs w:val="24"/>
      <w:lang w:eastAsia="ar-SA"/>
    </w:rPr>
  </w:style>
  <w:style w:type="paragraph" w:customStyle="1" w:styleId="MCAuthor">
    <w:name w:val="MC Author"/>
    <w:basedOn w:val="Normal"/>
    <w:rsid w:val="001D2609"/>
    <w:pPr>
      <w:widowControl w:val="0"/>
      <w:suppressAutoHyphens/>
      <w:spacing w:after="200" w:line="240" w:lineRule="auto"/>
    </w:pPr>
    <w:rPr>
      <w:rFonts w:ascii="Cambria" w:eastAsia="Lucida Sans Unicode" w:hAnsi="Cambria" w:cs="font320"/>
      <w:kern w:val="1"/>
      <w:sz w:val="24"/>
      <w:szCs w:val="24"/>
      <w:lang w:eastAsia="ar-SA"/>
    </w:rPr>
  </w:style>
  <w:style w:type="paragraph" w:customStyle="1" w:styleId="MCAuthorAffiliation">
    <w:name w:val="MC Author Affiliation"/>
    <w:basedOn w:val="Normal"/>
    <w:rsid w:val="001D2609"/>
    <w:pPr>
      <w:widowControl w:val="0"/>
      <w:suppressAutoHyphens/>
      <w:spacing w:after="200" w:line="240" w:lineRule="auto"/>
    </w:pPr>
    <w:rPr>
      <w:rFonts w:ascii="Cambria" w:eastAsia="Lucida Sans Unicode" w:hAnsi="Cambria" w:cs="font32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49687">
      <w:bodyDiv w:val="1"/>
      <w:marLeft w:val="0"/>
      <w:marRight w:val="0"/>
      <w:marTop w:val="0"/>
      <w:marBottom w:val="0"/>
      <w:divBdr>
        <w:top w:val="none" w:sz="0" w:space="0" w:color="auto"/>
        <w:left w:val="none" w:sz="0" w:space="0" w:color="auto"/>
        <w:bottom w:val="none" w:sz="0" w:space="0" w:color="auto"/>
        <w:right w:val="none" w:sz="0" w:space="0" w:color="auto"/>
      </w:divBdr>
      <w:divsChild>
        <w:div w:id="993338199">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Pagnoux</dc:creator>
  <cp:keywords/>
  <dc:description/>
  <cp:lastModifiedBy>William Pagnoux</cp:lastModifiedBy>
  <cp:revision>2</cp:revision>
  <dcterms:created xsi:type="dcterms:W3CDTF">2015-03-20T13:05:00Z</dcterms:created>
  <dcterms:modified xsi:type="dcterms:W3CDTF">2015-03-20T13:05:00Z</dcterms:modified>
</cp:coreProperties>
</file>