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8B60" w14:textId="62500476" w:rsidR="00E97EE6" w:rsidRPr="00B84D36" w:rsidRDefault="00E97EE6" w:rsidP="00AB65E4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Protective Factors</w:t>
      </w:r>
      <w:r w:rsidR="00AB65E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Reflections </w:t>
      </w:r>
    </w:p>
    <w:p w14:paraId="0630658E" w14:textId="77777777" w:rsidR="002371EE" w:rsidRDefault="002371E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9B4A985" w14:textId="0ABF50EC" w:rsidR="00482874" w:rsidRDefault="00E97EE6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Lilac Room (preschool)</w:t>
      </w:r>
    </w:p>
    <w:p w14:paraId="72D7F7E1" w14:textId="77777777" w:rsidR="00482874" w:rsidRDefault="00482874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24D6527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Identify five ways the ASCDL classroom </w:t>
      </w:r>
      <w:r w:rsidR="005242F8">
        <w:rPr>
          <w:rFonts w:ascii="Century Gothic" w:hAnsi="Century Gothic"/>
          <w:sz w:val="22"/>
          <w:szCs w:val="22"/>
        </w:rPr>
        <w:t xml:space="preserve">currently </w:t>
      </w:r>
      <w:r>
        <w:rPr>
          <w:rFonts w:ascii="Century Gothic" w:hAnsi="Century Gothic"/>
          <w:sz w:val="22"/>
          <w:szCs w:val="22"/>
        </w:rPr>
        <w:t xml:space="preserve">promotes </w:t>
      </w:r>
      <w:r w:rsidR="00664F36">
        <w:rPr>
          <w:rFonts w:ascii="Century Gothic" w:hAnsi="Century Gothic"/>
          <w:sz w:val="22"/>
          <w:szCs w:val="22"/>
        </w:rPr>
        <w:t>component</w:t>
      </w:r>
      <w:r w:rsidR="004E6B00">
        <w:rPr>
          <w:rFonts w:ascii="Century Gothic" w:hAnsi="Century Gothic"/>
          <w:sz w:val="22"/>
          <w:szCs w:val="22"/>
        </w:rPr>
        <w:t xml:space="preserve">s of the Protective Factors. For each one, identify </w:t>
      </w:r>
      <w:r w:rsidR="00664F36">
        <w:rPr>
          <w:rFonts w:ascii="Century Gothic" w:hAnsi="Century Gothic"/>
          <w:sz w:val="22"/>
          <w:szCs w:val="22"/>
        </w:rPr>
        <w:t>the resources provided in the training</w:t>
      </w:r>
      <w:r w:rsidR="004E6B00">
        <w:rPr>
          <w:rFonts w:ascii="Century Gothic" w:hAnsi="Century Gothic"/>
          <w:sz w:val="22"/>
          <w:szCs w:val="22"/>
        </w:rPr>
        <w:t xml:space="preserve"> which addressed this issue.</w:t>
      </w:r>
    </w:p>
    <w:p w14:paraId="4E2E7118" w14:textId="77777777" w:rsidR="004E6B00" w:rsidRDefault="004E6B00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6B57D15" w14:textId="5D08D059" w:rsidR="00D623DE" w:rsidRDefault="00212674" w:rsidP="0021267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The ASCDL provides opportunities for families to interact, such as with famil</w:t>
      </w:r>
      <w:r w:rsidR="0068191E">
        <w:rPr>
          <w:rFonts w:ascii="Century Gothic" w:hAnsi="Century Gothic"/>
          <w:sz w:val="22"/>
          <w:szCs w:val="22"/>
        </w:rPr>
        <w:t>y picnic days at the park, this opportunity is consistent with the factor of Social Connections</w:t>
      </w:r>
      <w:r>
        <w:rPr>
          <w:rFonts w:ascii="Century Gothic" w:hAnsi="Century Gothic"/>
          <w:sz w:val="22"/>
          <w:szCs w:val="22"/>
        </w:rPr>
        <w:t xml:space="preserve"> </w:t>
      </w:r>
      <w:r w:rsidR="0068191E">
        <w:rPr>
          <w:rFonts w:ascii="Century Gothic" w:hAnsi="Century Gothic"/>
          <w:sz w:val="22"/>
          <w:szCs w:val="22"/>
        </w:rPr>
        <w:t xml:space="preserve">of the five protective factors </w:t>
      </w:r>
      <w:r>
        <w:rPr>
          <w:rFonts w:ascii="Century Gothic" w:hAnsi="Century Gothic"/>
          <w:sz w:val="22"/>
          <w:szCs w:val="22"/>
        </w:rPr>
        <w:t>(Handout 6: Pathways to Improve Outcomes for Children and Families)</w:t>
      </w:r>
      <w:r w:rsidR="0068191E">
        <w:rPr>
          <w:rFonts w:ascii="Century Gothic" w:hAnsi="Century Gothic"/>
          <w:sz w:val="22"/>
          <w:szCs w:val="22"/>
        </w:rPr>
        <w:t>.</w:t>
      </w:r>
    </w:p>
    <w:p w14:paraId="5B8C86E3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1FA0C3" w14:textId="60238B60" w:rsidR="00D623DE" w:rsidRPr="0068191E" w:rsidRDefault="0068191E" w:rsidP="006819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staff at the ASCDL provide resources and tips for parenting through the use of display and newsletters that support the factor Knowledge of Parenting and Child Development</w:t>
      </w:r>
      <w:r w:rsidR="009D28BE">
        <w:rPr>
          <w:rFonts w:ascii="Century Gothic" w:hAnsi="Century Gothic"/>
          <w:sz w:val="22"/>
          <w:szCs w:val="22"/>
        </w:rPr>
        <w:t>. The c</w:t>
      </w:r>
      <w:r>
        <w:rPr>
          <w:rFonts w:ascii="Century Gothic" w:hAnsi="Century Gothic"/>
          <w:sz w:val="22"/>
          <w:szCs w:val="22"/>
        </w:rPr>
        <w:t xml:space="preserve">lassrooms often display the domains of child developmental growth (i.e. cognitive, social </w:t>
      </w:r>
      <w:r w:rsidR="009D28BE">
        <w:rPr>
          <w:rFonts w:ascii="Century Gothic" w:hAnsi="Century Gothic"/>
          <w:sz w:val="22"/>
          <w:szCs w:val="22"/>
        </w:rPr>
        <w:t>emotional</w:t>
      </w:r>
      <w:r>
        <w:rPr>
          <w:rFonts w:ascii="Century Gothic" w:hAnsi="Century Gothic"/>
          <w:sz w:val="22"/>
          <w:szCs w:val="22"/>
        </w:rPr>
        <w:t xml:space="preserve">, </w:t>
      </w:r>
      <w:r w:rsidR="009D28BE">
        <w:rPr>
          <w:rFonts w:ascii="Century Gothic" w:hAnsi="Century Gothic"/>
          <w:sz w:val="22"/>
          <w:szCs w:val="22"/>
        </w:rPr>
        <w:t>etc.) as well as provide families newsletters of how children are developing in the classroom (Handout 10: 40 Developmental Assets for Early Childhood).</w:t>
      </w:r>
    </w:p>
    <w:p w14:paraId="0D671AB5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7783844" w14:textId="5CF163E2" w:rsidR="00D623DE" w:rsidRPr="009D28BE" w:rsidRDefault="009D28BE" w:rsidP="009D28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Parental resilience is promoted in the ASCDL as staff honor each family’s race, language, culture, history and approach to parenting (Handout 6: Pathways to Improve Outcomes for Children and Families).</w:t>
      </w:r>
    </w:p>
    <w:p w14:paraId="6A13707A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6CEE81E" w14:textId="36BEC631" w:rsidR="00D623DE" w:rsidRPr="009D28BE" w:rsidRDefault="009D28BE" w:rsidP="009D28B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Social and emotional competence of children is core in what the ASCDL provides as the staff </w:t>
      </w:r>
      <w:r w:rsidR="00015E90">
        <w:rPr>
          <w:rFonts w:ascii="Century Gothic" w:hAnsi="Century Gothic"/>
          <w:sz w:val="22"/>
          <w:szCs w:val="22"/>
        </w:rPr>
        <w:t xml:space="preserve">facilitate opportunities for children to interact positively with others and for children to communicate his or her feelings effectively (Handout 9: Building Blocks of Behavior). </w:t>
      </w:r>
    </w:p>
    <w:p w14:paraId="4AAB7AAC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F8E0608" w14:textId="45149438" w:rsidR="00D623DE" w:rsidRPr="00015E90" w:rsidRDefault="00015E90" w:rsidP="00015E9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E97EE6">
        <w:rPr>
          <w:rFonts w:ascii="Century Gothic" w:hAnsi="Century Gothic"/>
          <w:sz w:val="22"/>
          <w:szCs w:val="22"/>
        </w:rPr>
        <w:t xml:space="preserve">staff in the </w:t>
      </w:r>
      <w:r>
        <w:rPr>
          <w:rFonts w:ascii="Century Gothic" w:hAnsi="Century Gothic"/>
          <w:sz w:val="22"/>
          <w:szCs w:val="22"/>
        </w:rPr>
        <w:t xml:space="preserve">ASCDL </w:t>
      </w:r>
      <w:r w:rsidR="00E97EE6">
        <w:rPr>
          <w:rFonts w:ascii="Century Gothic" w:hAnsi="Century Gothic"/>
          <w:sz w:val="22"/>
          <w:szCs w:val="22"/>
        </w:rPr>
        <w:t xml:space="preserve">classroom </w:t>
      </w:r>
      <w:r>
        <w:rPr>
          <w:rFonts w:ascii="Century Gothic" w:hAnsi="Century Gothic"/>
          <w:sz w:val="22"/>
          <w:szCs w:val="22"/>
        </w:rPr>
        <w:t>also supports social and emotional competence of children</w:t>
      </w:r>
      <w:r w:rsidR="00E97EE6">
        <w:rPr>
          <w:rFonts w:ascii="Century Gothic" w:hAnsi="Century Gothic"/>
          <w:sz w:val="22"/>
          <w:szCs w:val="22"/>
        </w:rPr>
        <w:t xml:space="preserve"> by </w:t>
      </w:r>
      <w:r>
        <w:rPr>
          <w:rFonts w:ascii="Century Gothic" w:hAnsi="Century Gothic"/>
          <w:sz w:val="22"/>
          <w:szCs w:val="22"/>
        </w:rPr>
        <w:t xml:space="preserve">modeling positive behaviors that support </w:t>
      </w:r>
      <w:r w:rsidR="00E97EE6">
        <w:rPr>
          <w:rFonts w:ascii="Century Gothic" w:hAnsi="Century Gothic"/>
          <w:sz w:val="22"/>
          <w:szCs w:val="22"/>
        </w:rPr>
        <w:t>development</w:t>
      </w:r>
      <w:r>
        <w:rPr>
          <w:rFonts w:ascii="Century Gothic" w:hAnsi="Century Gothic"/>
          <w:sz w:val="22"/>
          <w:szCs w:val="22"/>
        </w:rPr>
        <w:t xml:space="preserve"> (Handout 2: Core Meanings of the Strengthening Families Protective Factors).</w:t>
      </w:r>
    </w:p>
    <w:p w14:paraId="768A29CF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72E04A" w14:textId="77777777" w:rsidR="00D623DE" w:rsidRDefault="00D623DE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B13348D" w14:textId="77777777" w:rsidR="004E6B00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8B713D">
        <w:rPr>
          <w:rFonts w:ascii="Century Gothic" w:hAnsi="Century Gothic"/>
          <w:sz w:val="22"/>
          <w:szCs w:val="22"/>
        </w:rPr>
        <w:t xml:space="preserve">ased on your previous knowledge and experience with families, list three ideas for new ways (ideas not incorporated while you were completing your practicum) the classroom could promote </w:t>
      </w:r>
      <w:r w:rsidR="004E6B00">
        <w:rPr>
          <w:rFonts w:ascii="Century Gothic" w:hAnsi="Century Gothic"/>
          <w:sz w:val="22"/>
          <w:szCs w:val="22"/>
        </w:rPr>
        <w:t xml:space="preserve">an element of Protective Factors which could result in strengthening families. For each, identify resources provided within the training which addressed this issue. </w:t>
      </w:r>
    </w:p>
    <w:p w14:paraId="1AD3CB82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9429638" w14:textId="4B9FF68B" w:rsidR="00E634A6" w:rsidRPr="00E634A6" w:rsidRDefault="00E634A6" w:rsidP="00E634A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E634A6">
        <w:rPr>
          <w:rFonts w:ascii="Century Gothic" w:hAnsi="Century Gothic"/>
          <w:sz w:val="22"/>
          <w:szCs w:val="22"/>
        </w:rPr>
        <w:t>Provide information and services in the community to families who maybe experiencing a crisis or may need other supporting tools, this could be done with a simple bulletin board of resources outside each classroom (Handout 6: Pathways to Improve Outcomes for Children and Families).</w:t>
      </w:r>
    </w:p>
    <w:p w14:paraId="4A32FC3D" w14:textId="653C6318" w:rsidR="008B713D" w:rsidRPr="00E634A6" w:rsidRDefault="008B713D" w:rsidP="00E634A6">
      <w:pPr>
        <w:pStyle w:val="ListParagraph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1038AFA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FF751FE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E114773" w14:textId="77777777" w:rsidR="008B713D" w:rsidRP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ab/>
      </w:r>
    </w:p>
    <w:p w14:paraId="27EF003D" w14:textId="58AF6FF9" w:rsidR="008B713D" w:rsidRPr="00E634A6" w:rsidRDefault="00E634A6" w:rsidP="00E634A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Parenting class once a week to build parental resilience and knowledge of parenting and child development as well as encourage social connections </w:t>
      </w:r>
      <w:r w:rsidRPr="00E634A6">
        <w:rPr>
          <w:rFonts w:ascii="Century Gothic" w:hAnsi="Century Gothic"/>
          <w:sz w:val="22"/>
          <w:szCs w:val="22"/>
        </w:rPr>
        <w:t>(Handout 6: Pathways to Improve Outcomes for Children and Families).</w:t>
      </w:r>
    </w:p>
    <w:p w14:paraId="002EFCAA" w14:textId="77777777" w:rsid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59FAE25" w14:textId="77777777" w:rsidR="008B713D" w:rsidRDefault="008B713D" w:rsidP="0048287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9E8979B" w14:textId="124D4A94" w:rsidR="008B713D" w:rsidRPr="00E634A6" w:rsidRDefault="00E634A6" w:rsidP="00E634A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Encourage parents to support children’s social and emotional competence by giving out or displaying resources such as the P.R.I.D.E handout to strengthen families at home Handout 9: Building Blocks of Behavior).</w:t>
      </w:r>
    </w:p>
    <w:p w14:paraId="60977506" w14:textId="77777777" w:rsidR="002371EE" w:rsidRDefault="002371EE" w:rsidP="002371E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71442B" w14:textId="77777777" w:rsidR="008B713D" w:rsidRPr="008B713D" w:rsidRDefault="008B713D" w:rsidP="008B713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</w:t>
      </w:r>
      <w:r w:rsidRPr="008B713D">
        <w:rPr>
          <w:rFonts w:ascii="Century Gothic" w:hAnsi="Century Gothic"/>
          <w:sz w:val="22"/>
          <w:szCs w:val="22"/>
        </w:rPr>
        <w:t>esearch the topic of</w:t>
      </w:r>
      <w:r w:rsidR="004E6B00">
        <w:rPr>
          <w:rFonts w:ascii="Century Gothic" w:hAnsi="Century Gothic"/>
          <w:sz w:val="22"/>
          <w:szCs w:val="22"/>
        </w:rPr>
        <w:t xml:space="preserve"> a specific component within the Protective Factors.  Find a new idea that has the potential of strengthening families</w:t>
      </w:r>
      <w:r>
        <w:rPr>
          <w:rFonts w:ascii="Century Gothic" w:hAnsi="Century Gothic"/>
          <w:sz w:val="22"/>
          <w:szCs w:val="22"/>
        </w:rPr>
        <w:t xml:space="preserve"> in this classroom</w:t>
      </w:r>
      <w:r w:rsidRPr="008B713D">
        <w:rPr>
          <w:rFonts w:ascii="Century Gothic" w:hAnsi="Century Gothic"/>
          <w:sz w:val="22"/>
          <w:szCs w:val="22"/>
        </w:rPr>
        <w:t>.  Provide the link and explain why you feel this would be a valuable implementation for the classroom.</w:t>
      </w:r>
    </w:p>
    <w:p w14:paraId="6D50E90E" w14:textId="0841D743" w:rsidR="002371EE" w:rsidRDefault="002371EE" w:rsidP="002371E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0EBD358" w14:textId="0A0E4F08" w:rsidR="00E97EE6" w:rsidRPr="00B84D36" w:rsidRDefault="00E97EE6" w:rsidP="002371E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think parent volunteers in the ASCDL will help to strengthen all of the Protective Factors. Parents should come in once a week or once a month to volunteer an hour of their time to be with their child, get familiar with their child’s environment, make connections to other families, and pick up a few tips from early childhood educators about how their child is developing and ways to positively encourage their child’s growth. </w:t>
      </w:r>
      <w:hyperlink r:id="rId7" w:history="1">
        <w:r w:rsidRPr="00FB4845">
          <w:rPr>
            <w:rStyle w:val="Hyperlink"/>
            <w:rFonts w:ascii="Century Gothic" w:hAnsi="Century Gothic"/>
            <w:sz w:val="22"/>
            <w:szCs w:val="22"/>
          </w:rPr>
          <w:t>http://motherhood.modernmom.com/impact-parental-involvement-preschool-classroom-17441.html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sectPr w:rsidR="00E97EE6" w:rsidRPr="00B8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43E8" w14:textId="77777777" w:rsidR="00BC2465" w:rsidRDefault="00BC2465" w:rsidP="00AF13B6">
      <w:r>
        <w:separator/>
      </w:r>
    </w:p>
  </w:endnote>
  <w:endnote w:type="continuationSeparator" w:id="0">
    <w:p w14:paraId="245BA7B2" w14:textId="77777777" w:rsidR="00BC2465" w:rsidRDefault="00BC2465" w:rsidP="00AF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C5F8" w14:textId="77777777" w:rsidR="00BC2465" w:rsidRDefault="00BC2465" w:rsidP="00AF13B6">
      <w:r>
        <w:separator/>
      </w:r>
    </w:p>
  </w:footnote>
  <w:footnote w:type="continuationSeparator" w:id="0">
    <w:p w14:paraId="2AD6A6A5" w14:textId="77777777" w:rsidR="00BC2465" w:rsidRDefault="00BC2465" w:rsidP="00AF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E6D"/>
    <w:multiLevelType w:val="hybridMultilevel"/>
    <w:tmpl w:val="4408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F13"/>
    <w:multiLevelType w:val="hybridMultilevel"/>
    <w:tmpl w:val="87EC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64C"/>
    <w:multiLevelType w:val="hybridMultilevel"/>
    <w:tmpl w:val="8BE0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26A1"/>
    <w:multiLevelType w:val="hybridMultilevel"/>
    <w:tmpl w:val="11F68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B3F35"/>
    <w:multiLevelType w:val="hybridMultilevel"/>
    <w:tmpl w:val="21CE5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771F1"/>
    <w:multiLevelType w:val="hybridMultilevel"/>
    <w:tmpl w:val="E9F2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36EFF"/>
    <w:multiLevelType w:val="hybridMultilevel"/>
    <w:tmpl w:val="0BE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621A"/>
    <w:multiLevelType w:val="hybridMultilevel"/>
    <w:tmpl w:val="85F6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B72"/>
    <w:multiLevelType w:val="hybridMultilevel"/>
    <w:tmpl w:val="8AF6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9D6"/>
    <w:multiLevelType w:val="hybridMultilevel"/>
    <w:tmpl w:val="F1A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B784C"/>
    <w:multiLevelType w:val="hybridMultilevel"/>
    <w:tmpl w:val="7AD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19BE"/>
    <w:multiLevelType w:val="hybridMultilevel"/>
    <w:tmpl w:val="C484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10227"/>
    <w:multiLevelType w:val="hybridMultilevel"/>
    <w:tmpl w:val="A366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A62A6"/>
    <w:multiLevelType w:val="hybridMultilevel"/>
    <w:tmpl w:val="8822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F5EFD"/>
    <w:multiLevelType w:val="hybridMultilevel"/>
    <w:tmpl w:val="EBE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7B87"/>
    <w:multiLevelType w:val="hybridMultilevel"/>
    <w:tmpl w:val="0436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C6454"/>
    <w:multiLevelType w:val="hybridMultilevel"/>
    <w:tmpl w:val="614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83253"/>
    <w:multiLevelType w:val="hybridMultilevel"/>
    <w:tmpl w:val="5BD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2042"/>
    <w:multiLevelType w:val="hybridMultilevel"/>
    <w:tmpl w:val="60308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43559"/>
    <w:multiLevelType w:val="hybridMultilevel"/>
    <w:tmpl w:val="85D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37DFE"/>
    <w:multiLevelType w:val="hybridMultilevel"/>
    <w:tmpl w:val="9BB618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17B82"/>
    <w:multiLevelType w:val="hybridMultilevel"/>
    <w:tmpl w:val="175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65CA"/>
    <w:multiLevelType w:val="hybridMultilevel"/>
    <w:tmpl w:val="66BE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6831"/>
    <w:multiLevelType w:val="hybridMultilevel"/>
    <w:tmpl w:val="369EA7CA"/>
    <w:lvl w:ilvl="0" w:tplc="B452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F3D00"/>
    <w:multiLevelType w:val="hybridMultilevel"/>
    <w:tmpl w:val="CDBC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80FEC"/>
    <w:multiLevelType w:val="hybridMultilevel"/>
    <w:tmpl w:val="269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25"/>
  </w:num>
  <w:num w:numId="12">
    <w:abstractNumId w:val="24"/>
  </w:num>
  <w:num w:numId="13">
    <w:abstractNumId w:val="2"/>
  </w:num>
  <w:num w:numId="14">
    <w:abstractNumId w:val="16"/>
  </w:num>
  <w:num w:numId="15">
    <w:abstractNumId w:val="12"/>
  </w:num>
  <w:num w:numId="16">
    <w:abstractNumId w:val="7"/>
  </w:num>
  <w:num w:numId="17">
    <w:abstractNumId w:val="22"/>
  </w:num>
  <w:num w:numId="18">
    <w:abstractNumId w:val="1"/>
  </w:num>
  <w:num w:numId="19">
    <w:abstractNumId w:val="17"/>
  </w:num>
  <w:num w:numId="20">
    <w:abstractNumId w:val="19"/>
  </w:num>
  <w:num w:numId="21">
    <w:abstractNumId w:val="21"/>
  </w:num>
  <w:num w:numId="22">
    <w:abstractNumId w:val="6"/>
  </w:num>
  <w:num w:numId="23">
    <w:abstractNumId w:val="5"/>
  </w:num>
  <w:num w:numId="24">
    <w:abstractNumId w:val="0"/>
  </w:num>
  <w:num w:numId="25">
    <w:abstractNumId w:val="1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B6"/>
    <w:rsid w:val="00015E90"/>
    <w:rsid w:val="0002614D"/>
    <w:rsid w:val="00063994"/>
    <w:rsid w:val="00064474"/>
    <w:rsid w:val="000828B0"/>
    <w:rsid w:val="000B1F62"/>
    <w:rsid w:val="000D7D59"/>
    <w:rsid w:val="000E0A6E"/>
    <w:rsid w:val="000E2C13"/>
    <w:rsid w:val="001018DC"/>
    <w:rsid w:val="00114764"/>
    <w:rsid w:val="00116604"/>
    <w:rsid w:val="001262A3"/>
    <w:rsid w:val="001659C9"/>
    <w:rsid w:val="00171CE1"/>
    <w:rsid w:val="001B5C9B"/>
    <w:rsid w:val="001D5250"/>
    <w:rsid w:val="001E5157"/>
    <w:rsid w:val="001E648D"/>
    <w:rsid w:val="00212674"/>
    <w:rsid w:val="002371EE"/>
    <w:rsid w:val="002429E6"/>
    <w:rsid w:val="002849C6"/>
    <w:rsid w:val="00286C49"/>
    <w:rsid w:val="002E3C0C"/>
    <w:rsid w:val="003178EA"/>
    <w:rsid w:val="00381887"/>
    <w:rsid w:val="003967F3"/>
    <w:rsid w:val="004235A7"/>
    <w:rsid w:val="0043379B"/>
    <w:rsid w:val="004523AB"/>
    <w:rsid w:val="00482874"/>
    <w:rsid w:val="0049418D"/>
    <w:rsid w:val="0049745D"/>
    <w:rsid w:val="004A2068"/>
    <w:rsid w:val="004E5D44"/>
    <w:rsid w:val="004E6B00"/>
    <w:rsid w:val="00506A65"/>
    <w:rsid w:val="00514CAC"/>
    <w:rsid w:val="005165FB"/>
    <w:rsid w:val="005242F8"/>
    <w:rsid w:val="005266ED"/>
    <w:rsid w:val="0054092A"/>
    <w:rsid w:val="0058553D"/>
    <w:rsid w:val="00633C77"/>
    <w:rsid w:val="00664F36"/>
    <w:rsid w:val="0067471D"/>
    <w:rsid w:val="0068191E"/>
    <w:rsid w:val="007121ED"/>
    <w:rsid w:val="00785304"/>
    <w:rsid w:val="007A7BB9"/>
    <w:rsid w:val="007C10A6"/>
    <w:rsid w:val="008248E9"/>
    <w:rsid w:val="008416C9"/>
    <w:rsid w:val="008753D8"/>
    <w:rsid w:val="00876A48"/>
    <w:rsid w:val="008A0309"/>
    <w:rsid w:val="008B239F"/>
    <w:rsid w:val="008B3388"/>
    <w:rsid w:val="008B713D"/>
    <w:rsid w:val="008B7FCB"/>
    <w:rsid w:val="008C7F12"/>
    <w:rsid w:val="008D4297"/>
    <w:rsid w:val="008E3E99"/>
    <w:rsid w:val="00902C37"/>
    <w:rsid w:val="009521A3"/>
    <w:rsid w:val="00966CD4"/>
    <w:rsid w:val="009C53C1"/>
    <w:rsid w:val="009D151E"/>
    <w:rsid w:val="009D28BE"/>
    <w:rsid w:val="009E0436"/>
    <w:rsid w:val="00A237C4"/>
    <w:rsid w:val="00A403E1"/>
    <w:rsid w:val="00A673A4"/>
    <w:rsid w:val="00AB0C1D"/>
    <w:rsid w:val="00AB65E4"/>
    <w:rsid w:val="00AD5A22"/>
    <w:rsid w:val="00AD6EB8"/>
    <w:rsid w:val="00AE2749"/>
    <w:rsid w:val="00AF13B6"/>
    <w:rsid w:val="00B01867"/>
    <w:rsid w:val="00B11AA5"/>
    <w:rsid w:val="00B2247F"/>
    <w:rsid w:val="00B2753C"/>
    <w:rsid w:val="00B60850"/>
    <w:rsid w:val="00B84D36"/>
    <w:rsid w:val="00B920F2"/>
    <w:rsid w:val="00B95F8E"/>
    <w:rsid w:val="00BA0225"/>
    <w:rsid w:val="00BC2465"/>
    <w:rsid w:val="00BD4E01"/>
    <w:rsid w:val="00BF7689"/>
    <w:rsid w:val="00C14C83"/>
    <w:rsid w:val="00C37539"/>
    <w:rsid w:val="00C41699"/>
    <w:rsid w:val="00C60B8E"/>
    <w:rsid w:val="00C62184"/>
    <w:rsid w:val="00C9469D"/>
    <w:rsid w:val="00CE59A2"/>
    <w:rsid w:val="00D25568"/>
    <w:rsid w:val="00D60C64"/>
    <w:rsid w:val="00D623DE"/>
    <w:rsid w:val="00DD5C40"/>
    <w:rsid w:val="00E17068"/>
    <w:rsid w:val="00E634A6"/>
    <w:rsid w:val="00E97EE6"/>
    <w:rsid w:val="00EB2C26"/>
    <w:rsid w:val="00EC4A0F"/>
    <w:rsid w:val="00EF0913"/>
    <w:rsid w:val="00F04D8C"/>
    <w:rsid w:val="00F2396E"/>
    <w:rsid w:val="00F531F1"/>
    <w:rsid w:val="00F8565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C62D0"/>
  <w15:docId w15:val="{AE4168BF-325E-4C2D-BB8E-C96E96F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F13B6"/>
    <w:rPr>
      <w:color w:val="0000FF"/>
      <w:u w:val="single"/>
    </w:rPr>
  </w:style>
  <w:style w:type="character" w:styleId="PageNumber">
    <w:name w:val="page number"/>
    <w:basedOn w:val="DefaultParagraphFont"/>
    <w:rsid w:val="00AF13B6"/>
  </w:style>
  <w:style w:type="paragraph" w:styleId="ListParagraph">
    <w:name w:val="List Paragraph"/>
    <w:basedOn w:val="Normal"/>
    <w:uiPriority w:val="34"/>
    <w:qFormat/>
    <w:rsid w:val="00AF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therhood.modernmom.com/impact-parental-involvement-preschool-classroom-174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renee saechao</cp:lastModifiedBy>
  <cp:revision>2</cp:revision>
  <cp:lastPrinted>2015-01-10T21:21:00Z</cp:lastPrinted>
  <dcterms:created xsi:type="dcterms:W3CDTF">2015-05-12T17:04:00Z</dcterms:created>
  <dcterms:modified xsi:type="dcterms:W3CDTF">2015-05-12T17:04:00Z</dcterms:modified>
</cp:coreProperties>
</file>