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66" w:rsidRDefault="00527926" w:rsidP="006964B4">
      <w:pPr>
        <w:pStyle w:val="Logo"/>
      </w:pPr>
      <w:r>
        <w:drawing>
          <wp:inline distT="0" distB="0" distL="0" distR="0">
            <wp:extent cx="241427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4312" cy="2647996"/>
                    </a:xfrm>
                    <a:prstGeom prst="rect">
                      <a:avLst/>
                    </a:prstGeom>
                    <a:noFill/>
                    <a:ln>
                      <a:noFill/>
                    </a:ln>
                  </pic:spPr>
                </pic:pic>
              </a:graphicData>
            </a:graphic>
          </wp:inline>
        </w:drawing>
      </w:r>
    </w:p>
    <w:sdt>
      <w:sdtPr>
        <w:alias w:val="Company"/>
        <w:tag w:val="Company"/>
        <w:id w:val="889432400"/>
        <w:placeholder>
          <w:docPart w:val="6B6ACE71A7CA417785884FB32D3019E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103966" w:rsidRPr="00545927" w:rsidRDefault="00F46D06" w:rsidP="006964B4">
          <w:pPr>
            <w:pStyle w:val="CompanyName"/>
          </w:pPr>
          <w:r>
            <w:t>U.S. Retail Banking Industry Analysis</w:t>
          </w:r>
        </w:p>
      </w:sdtContent>
    </w:sdt>
    <w:p w:rsidR="00103966" w:rsidRPr="001B5125" w:rsidRDefault="00F46D06" w:rsidP="00F46D06">
      <w:pPr>
        <w:pStyle w:val="Title"/>
      </w:pPr>
      <w:r>
        <w:t>A Recovering Industry</w:t>
      </w:r>
    </w:p>
    <w:sdt>
      <w:sdtPr>
        <w:alias w:val="Date"/>
        <w:tag w:val="Date"/>
        <w:id w:val="889432411"/>
        <w:placeholder>
          <w:docPart w:val="D3A66B1985E44F168890D53BE08A5449"/>
        </w:placeholder>
        <w:date w:fullDate="2015-03-26T00:00:00Z">
          <w:dateFormat w:val="MMMM d, yyyy"/>
          <w:lid w:val="en-US"/>
          <w:storeMappedDataAs w:val="dateTime"/>
          <w:calendar w:val="gregorian"/>
        </w:date>
      </w:sdtPr>
      <w:sdtEndPr/>
      <w:sdtContent>
        <w:p w:rsidR="00BE2214" w:rsidRPr="001B5125" w:rsidRDefault="00F46D06" w:rsidP="006964B4">
          <w:pPr>
            <w:pStyle w:val="Subtitle"/>
          </w:pPr>
          <w:r>
            <w:t>March 26, 2015</w:t>
          </w:r>
        </w:p>
      </w:sdtContent>
    </w:sdt>
    <w:p w:rsidR="00BE2214" w:rsidRPr="001B5125" w:rsidRDefault="00BE2214" w:rsidP="006964B4">
      <w:pPr>
        <w:pStyle w:val="PresentedBy"/>
      </w:pPr>
      <w:r w:rsidRPr="001B5125">
        <w:t>Presented by:</w:t>
      </w:r>
    </w:p>
    <w:p w:rsidR="00103966" w:rsidRDefault="00F46D06" w:rsidP="006964B4">
      <w:pPr>
        <w:pStyle w:val="PresentedBy"/>
      </w:pPr>
      <w:r>
        <w:t>Alyssa Limones</w:t>
      </w:r>
    </w:p>
    <w:p w:rsidR="001B5125" w:rsidRPr="006964B4" w:rsidRDefault="001B5125" w:rsidP="006964B4"/>
    <w:p w:rsidR="00DA0A78" w:rsidRPr="006964B4" w:rsidRDefault="00DA0A78" w:rsidP="006964B4">
      <w:pPr>
        <w:sectPr w:rsidR="00DA0A78" w:rsidRPr="006964B4" w:rsidSect="005226F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1022" w:gutter="0"/>
          <w:cols w:space="720"/>
          <w:titlePg/>
        </w:sectPr>
      </w:pPr>
    </w:p>
    <w:p w:rsidR="00BC3AEE" w:rsidRPr="00BC3AEE" w:rsidRDefault="00BC3AEE" w:rsidP="00BC3AEE">
      <w:pPr>
        <w:pStyle w:val="Heading1"/>
        <w:spacing w:line="480" w:lineRule="auto"/>
        <w:rPr>
          <w:rFonts w:ascii="Bookman Old Style" w:hAnsi="Bookman Old Style"/>
          <w:b w:val="0"/>
          <w:sz w:val="24"/>
          <w:szCs w:val="24"/>
        </w:rPr>
      </w:pPr>
      <w:bookmarkStart w:id="0" w:name="_Toc535734375"/>
      <w:bookmarkEnd w:id="0"/>
      <w:r w:rsidRPr="00BC3AEE">
        <w:rPr>
          <w:rFonts w:ascii="Bookman Old Style" w:hAnsi="Bookman Old Style"/>
          <w:b w:val="0"/>
          <w:sz w:val="24"/>
          <w:szCs w:val="24"/>
        </w:rPr>
        <w:lastRenderedPageBreak/>
        <w:t xml:space="preserve">The five largest U.S. financial institutions include JP Morgan Chase, Bank of America, Citigroup, Wells Fargo, and Goldman Sachs Company. These top five institutions hold retail investments of $5.633 trillion. These banks are just five financial institutions of more than 9,000 retail banks. </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As more people bank online and via smartphone, banks are evaluating the future of the old-fashioned branch.</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From 2006 to 2010, the number of most types of common transactions performed inside bank branches declined, from opening bank accounts to making deposits and resolving problems.</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It's caused the industry to rethink the size, number and locations of bank branches and to look for more efficient, cheaper ways to conduct business. Neighborhood branches likely won't completely disappear, but they'll be smaller and have a smaller staff size. Self-service and technology are quickly becoming the name of the game.</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Two of the most omnipresent trends evident in this year’s predictions were the heightened use of customer insight for the delivery of services and an enhanced customer experience, and the continued development of digital channels and associated digital services.</w:t>
      </w:r>
    </w:p>
    <w:p w:rsid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Changes in the industry in 2015 will be driven by increasing consumer demands combined with continued competition from outside the industry.</w:t>
      </w:r>
    </w:p>
    <w:p w:rsidR="00BC3AEE" w:rsidRDefault="00BC3AEE" w:rsidP="00BC3AEE">
      <w:pPr>
        <w:spacing w:line="480" w:lineRule="auto"/>
        <w:rPr>
          <w:rFonts w:ascii="Bookman Old Style" w:hAnsi="Bookman Old Style"/>
          <w:sz w:val="24"/>
          <w:szCs w:val="24"/>
        </w:rPr>
      </w:pPr>
      <w:r>
        <w:rPr>
          <w:rFonts w:ascii="Bookman Old Style" w:hAnsi="Bookman Old Style"/>
          <w:noProof/>
          <w:sz w:val="24"/>
          <w:szCs w:val="24"/>
        </w:rPr>
        <w:lastRenderedPageBreak/>
        <w:drawing>
          <wp:inline distT="0" distB="0" distL="0" distR="0">
            <wp:extent cx="538162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GIF"/>
                    <pic:cNvPicPr/>
                  </pic:nvPicPr>
                  <pic:blipFill>
                    <a:blip r:embed="rId15">
                      <a:extLst>
                        <a:ext uri="{28A0092B-C50C-407E-A947-70E740481C1C}">
                          <a14:useLocalDpi xmlns:a14="http://schemas.microsoft.com/office/drawing/2010/main" val="0"/>
                        </a:ext>
                      </a:extLst>
                    </a:blip>
                    <a:stretch>
                      <a:fillRect/>
                    </a:stretch>
                  </pic:blipFill>
                  <pic:spPr>
                    <a:xfrm>
                      <a:off x="0" y="0"/>
                      <a:ext cx="5381625" cy="3429000"/>
                    </a:xfrm>
                    <a:prstGeom prst="rect">
                      <a:avLst/>
                    </a:prstGeom>
                  </pic:spPr>
                </pic:pic>
              </a:graphicData>
            </a:graphic>
          </wp:inline>
        </w:drawing>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 xml:space="preserve">Customers switching their primary bank plus customers altogether new to banking increased at an average rate of about 3% in developed markets and 6% in developing ones over the past year. </w:t>
      </w:r>
    </w:p>
    <w:p w:rsid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In Texas, Frost Bank ranks highest in customer satisfaction, product offerings, account activities, fees and account information factors.</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The top three U.S. banks are JP Morgan Chase, Bank of America, and Citigroup Inc.</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 xml:space="preserve">JP Morgan Chase has assets </w:t>
      </w:r>
      <w:proofErr w:type="gramStart"/>
      <w:r w:rsidRPr="00BC3AEE">
        <w:rPr>
          <w:rFonts w:ascii="Bookman Old Style" w:hAnsi="Bookman Old Style"/>
          <w:sz w:val="24"/>
          <w:szCs w:val="24"/>
        </w:rPr>
        <w:t>totaling  $</w:t>
      </w:r>
      <w:proofErr w:type="gramEnd"/>
      <w:r w:rsidRPr="00BC3AEE">
        <w:rPr>
          <w:rFonts w:ascii="Bookman Old Style" w:hAnsi="Bookman Old Style"/>
          <w:sz w:val="24"/>
          <w:szCs w:val="24"/>
        </w:rPr>
        <w:t>2,520.34 billion and deposits totaling $1,319.75 billion.</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 xml:space="preserve">Bank of America has assets totaling $2,170.56 billion and deposits totaling $1,134.33 billion. </w:t>
      </w:r>
    </w:p>
    <w:p w:rsidR="00BC3AEE" w:rsidRPr="00BC3AEE" w:rsidRDefault="00BC3AEE" w:rsidP="00BC3AEE">
      <w:pPr>
        <w:spacing w:line="480" w:lineRule="auto"/>
        <w:rPr>
          <w:rFonts w:ascii="Bookman Old Style" w:hAnsi="Bookman Old Style"/>
          <w:sz w:val="24"/>
          <w:szCs w:val="24"/>
        </w:rPr>
      </w:pPr>
      <w:r w:rsidRPr="00BC3AEE">
        <w:rPr>
          <w:rFonts w:ascii="Bookman Old Style" w:hAnsi="Bookman Old Style"/>
          <w:sz w:val="24"/>
          <w:szCs w:val="24"/>
        </w:rPr>
        <w:t>Citigroup Inc. has assets totaling $1,909.72 billion and deposits totaling $965.73 billion.</w:t>
      </w:r>
    </w:p>
    <w:p w:rsidR="00BC3AEE" w:rsidRPr="00BC3AEE" w:rsidRDefault="00BC3AEE" w:rsidP="00BC3AEE">
      <w:pPr>
        <w:pStyle w:val="Heading1"/>
      </w:pPr>
    </w:p>
    <w:sectPr w:rsidR="00BC3AEE" w:rsidRPr="00BC3AEE" w:rsidSect="006F2DFA">
      <w:headerReference w:type="default" r:id="rId16"/>
      <w:footerReference w:type="default" r:id="rId17"/>
      <w:headerReference w:type="first" r:id="rId18"/>
      <w:footerReference w:type="first" r:id="rId19"/>
      <w:pgSz w:w="12240" w:h="15840" w:code="1"/>
      <w:pgMar w:top="1080" w:right="1080" w:bottom="1080" w:left="1080" w:header="720" w:footer="1022"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8B" w:rsidRDefault="002F738B" w:rsidP="006964B4">
      <w:r>
        <w:separator/>
      </w:r>
    </w:p>
  </w:endnote>
  <w:endnote w:type="continuationSeparator" w:id="0">
    <w:p w:rsidR="002F738B" w:rsidRDefault="002F738B" w:rsidP="0069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AB" w:rsidRDefault="002F738B" w:rsidP="006964B4">
    <w:pPr>
      <w:pStyle w:val="Footer"/>
    </w:pPr>
    <w:r>
      <w:fldChar w:fldCharType="begin"/>
    </w:r>
    <w:r>
      <w:instrText xml:space="preserve"> DATE \@ "M/d/yyyy" </w:instrText>
    </w:r>
    <w:r>
      <w:fldChar w:fldCharType="separate"/>
    </w:r>
    <w:r w:rsidR="00BC3AEE">
      <w:rPr>
        <w:noProof/>
      </w:rPr>
      <w:t>3/26/2015</w:t>
    </w:r>
    <w:r>
      <w:rPr>
        <w:noProof/>
      </w:rPr>
      <w:fldChar w:fldCharType="end"/>
    </w:r>
    <w:r w:rsidR="00D77BAB">
      <w:tab/>
    </w:r>
    <w:r w:rsidR="00F46D06">
      <w:t>U.S. Retail Banking Industry Analysis</w:t>
    </w:r>
    <w:r w:rsidR="00D77BAB">
      <w:tab/>
      <w:t xml:space="preserve">Page </w:t>
    </w:r>
    <w:r>
      <w:fldChar w:fldCharType="begin"/>
    </w:r>
    <w:r>
      <w:instrText xml:space="preserve"> PAGE </w:instrText>
    </w:r>
    <w:r>
      <w:fldChar w:fldCharType="separate"/>
    </w:r>
    <w:r w:rsidR="00BC3AEE">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AB" w:rsidRPr="00B064AE" w:rsidRDefault="002F738B" w:rsidP="006964B4">
    <w:pPr>
      <w:pStyle w:val="Footer"/>
    </w:pPr>
    <w:r>
      <w:fldChar w:fldCharType="begin"/>
    </w:r>
    <w:r>
      <w:instrText xml:space="preserve"> DATE \@ "M/d/yyyy" </w:instrText>
    </w:r>
    <w:r>
      <w:fldChar w:fldCharType="separate"/>
    </w:r>
    <w:r w:rsidR="00F46D06">
      <w:rPr>
        <w:noProof/>
      </w:rPr>
      <w:t>5/14/2015</w:t>
    </w:r>
    <w:r>
      <w:rPr>
        <w:noProof/>
      </w:rPr>
      <w:fldChar w:fldCharType="end"/>
    </w:r>
    <w:r w:rsidR="00D77BAB">
      <w:tab/>
      <w:t>Performance Measurement Strategy</w:t>
    </w:r>
    <w:r w:rsidR="00D77BAB">
      <w:tab/>
      <w:t xml:space="preserve">Page </w:t>
    </w:r>
    <w:r>
      <w:fldChar w:fldCharType="begin"/>
    </w:r>
    <w:r>
      <w:instrText xml:space="preserve">PAGE  </w:instrText>
    </w:r>
    <w:r>
      <w:fldChar w:fldCharType="separate"/>
    </w:r>
    <w:r w:rsidR="00D77BAB">
      <w:rPr>
        <w:noProof/>
      </w:rPr>
      <w:t>2</w:t>
    </w:r>
    <w:r>
      <w:rPr>
        <w:noProof/>
      </w:rPr>
      <w:fldChar w:fldCharType="end"/>
    </w:r>
    <w:r w:rsidR="00D77B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8B" w:rsidRDefault="002F738B" w:rsidP="006964B4">
      <w:r>
        <w:separator/>
      </w:r>
    </w:p>
  </w:footnote>
  <w:footnote w:type="continuationSeparator" w:id="0">
    <w:p w:rsidR="002F738B" w:rsidRDefault="002F738B" w:rsidP="0069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EE" w:rsidRDefault="00BC3A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AB" w:rsidRPr="00BC3AEE" w:rsidRDefault="00D77BAB" w:rsidP="00BC3AEE">
    <w:pPr>
      <w:pStyle w:val="Header"/>
      <w:jc w:val="right"/>
    </w:pPr>
    <w:bookmarkStart w:id="1" w:name="_GoBack"/>
    <w:bookmarkEnd w:id="1"/>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AB" w:rsidRPr="00BE2214" w:rsidRDefault="00D77BAB" w:rsidP="00696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1C96DC"/>
    <w:lvl w:ilvl="0">
      <w:start w:val="1"/>
      <w:numFmt w:val="decimal"/>
      <w:lvlText w:val="%1."/>
      <w:lvlJc w:val="left"/>
      <w:pPr>
        <w:tabs>
          <w:tab w:val="num" w:pos="1800"/>
        </w:tabs>
        <w:ind w:left="1800" w:hanging="360"/>
      </w:pPr>
    </w:lvl>
  </w:abstractNum>
  <w:abstractNum w:abstractNumId="1">
    <w:nsid w:val="FFFFFF7D"/>
    <w:multiLevelType w:val="singleLevel"/>
    <w:tmpl w:val="2312EA44"/>
    <w:lvl w:ilvl="0">
      <w:start w:val="1"/>
      <w:numFmt w:val="decimal"/>
      <w:lvlText w:val="%1."/>
      <w:lvlJc w:val="left"/>
      <w:pPr>
        <w:tabs>
          <w:tab w:val="num" w:pos="1440"/>
        </w:tabs>
        <w:ind w:left="1440" w:hanging="360"/>
      </w:pPr>
    </w:lvl>
  </w:abstractNum>
  <w:abstractNum w:abstractNumId="2">
    <w:nsid w:val="FFFFFF7E"/>
    <w:multiLevelType w:val="singleLevel"/>
    <w:tmpl w:val="8D9C3A54"/>
    <w:lvl w:ilvl="0">
      <w:start w:val="1"/>
      <w:numFmt w:val="decimal"/>
      <w:lvlText w:val="%1."/>
      <w:lvlJc w:val="left"/>
      <w:pPr>
        <w:tabs>
          <w:tab w:val="num" w:pos="1080"/>
        </w:tabs>
        <w:ind w:left="1080" w:hanging="360"/>
      </w:pPr>
    </w:lvl>
  </w:abstractNum>
  <w:abstractNum w:abstractNumId="3">
    <w:nsid w:val="FFFFFF7F"/>
    <w:multiLevelType w:val="singleLevel"/>
    <w:tmpl w:val="B510AC1E"/>
    <w:lvl w:ilvl="0">
      <w:start w:val="1"/>
      <w:numFmt w:val="decimal"/>
      <w:lvlText w:val="%1."/>
      <w:lvlJc w:val="left"/>
      <w:pPr>
        <w:tabs>
          <w:tab w:val="num" w:pos="720"/>
        </w:tabs>
        <w:ind w:left="720" w:hanging="360"/>
      </w:pPr>
    </w:lvl>
  </w:abstractNum>
  <w:abstractNum w:abstractNumId="4">
    <w:nsid w:val="FFFFFF80"/>
    <w:multiLevelType w:val="singleLevel"/>
    <w:tmpl w:val="53C40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7F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0E2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2C25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6E896E"/>
    <w:lvl w:ilvl="0">
      <w:start w:val="1"/>
      <w:numFmt w:val="decimal"/>
      <w:lvlText w:val="%1."/>
      <w:lvlJc w:val="left"/>
      <w:pPr>
        <w:tabs>
          <w:tab w:val="num" w:pos="360"/>
        </w:tabs>
        <w:ind w:left="360" w:hanging="360"/>
      </w:pPr>
    </w:lvl>
  </w:abstractNum>
  <w:abstractNum w:abstractNumId="9">
    <w:nsid w:val="FFFFFF89"/>
    <w:multiLevelType w:val="singleLevel"/>
    <w:tmpl w:val="25989D52"/>
    <w:lvl w:ilvl="0">
      <w:start w:val="1"/>
      <w:numFmt w:val="bullet"/>
      <w:lvlText w:val=""/>
      <w:lvlJc w:val="left"/>
      <w:pPr>
        <w:tabs>
          <w:tab w:val="num" w:pos="360"/>
        </w:tabs>
        <w:ind w:left="360" w:hanging="360"/>
      </w:pPr>
      <w:rPr>
        <w:rFonts w:ascii="Symbol" w:hAnsi="Symbol" w:hint="default"/>
      </w:rPr>
    </w:lvl>
  </w:abstractNum>
  <w:abstractNum w:abstractNumId="1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nsid w:val="14E953FB"/>
    <w:multiLevelType w:val="hybridMultilevel"/>
    <w:tmpl w:val="33140E6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3993022"/>
    <w:multiLevelType w:val="hybridMultilevel"/>
    <w:tmpl w:val="A21A47D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EFA4C16"/>
    <w:multiLevelType w:val="hybridMultilevel"/>
    <w:tmpl w:val="5D5E4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D12E8BA">
      <w:start w:val="1"/>
      <w:numFmt w:val="bullet"/>
      <w:lvlText w:val="o"/>
      <w:lvlJc w:val="left"/>
      <w:pPr>
        <w:tabs>
          <w:tab w:val="num" w:pos="2592"/>
        </w:tabs>
        <w:ind w:left="2808" w:hanging="288"/>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5250F42"/>
    <w:multiLevelType w:val="hybridMultilevel"/>
    <w:tmpl w:val="F7307BE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D4031C"/>
    <w:multiLevelType w:val="hybridMultilevel"/>
    <w:tmpl w:val="48C4F4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A9D52DB"/>
    <w:multiLevelType w:val="hybridMultilevel"/>
    <w:tmpl w:val="70E20D14"/>
    <w:lvl w:ilvl="0" w:tplc="188282AE">
      <w:start w:val="1"/>
      <w:numFmt w:val="decimal"/>
      <w:pStyle w:val="NumberedBlockText"/>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2">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7B52107"/>
    <w:multiLevelType w:val="hybridMultilevel"/>
    <w:tmpl w:val="A24E27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3"/>
  </w:num>
  <w:num w:numId="3">
    <w:abstractNumId w:val="14"/>
  </w:num>
  <w:num w:numId="4">
    <w:abstractNumId w:val="17"/>
  </w:num>
  <w:num w:numId="5">
    <w:abstractNumId w:val="10"/>
  </w:num>
  <w:num w:numId="6">
    <w:abstractNumId w:val="12"/>
  </w:num>
  <w:num w:numId="7">
    <w:abstractNumId w:val="15"/>
  </w:num>
  <w:num w:numId="8">
    <w:abstractNumId w:val="18"/>
  </w:num>
  <w:num w:numId="9">
    <w:abstractNumId w:val="16"/>
  </w:num>
  <w:num w:numId="10">
    <w:abstractNumId w:val="20"/>
  </w:num>
  <w:num w:numId="11">
    <w:abstractNumId w:val="13"/>
  </w:num>
  <w:num w:numId="12">
    <w:abstractNumId w:val="19"/>
  </w:num>
  <w:num w:numId="13">
    <w:abstractNumId w:val="24"/>
  </w:num>
  <w:num w:numId="14">
    <w:abstractNumId w:val="11"/>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06"/>
    <w:rsid w:val="00001087"/>
    <w:rsid w:val="00002EFC"/>
    <w:rsid w:val="0002649E"/>
    <w:rsid w:val="0003120C"/>
    <w:rsid w:val="00060B60"/>
    <w:rsid w:val="00063237"/>
    <w:rsid w:val="000637FE"/>
    <w:rsid w:val="000716FB"/>
    <w:rsid w:val="000D4C93"/>
    <w:rsid w:val="000E1663"/>
    <w:rsid w:val="000F1734"/>
    <w:rsid w:val="000F2E61"/>
    <w:rsid w:val="00103966"/>
    <w:rsid w:val="00143B45"/>
    <w:rsid w:val="00147034"/>
    <w:rsid w:val="00150CE5"/>
    <w:rsid w:val="00186425"/>
    <w:rsid w:val="001B5125"/>
    <w:rsid w:val="001E0FEE"/>
    <w:rsid w:val="00210E48"/>
    <w:rsid w:val="00213BCA"/>
    <w:rsid w:val="00216C3A"/>
    <w:rsid w:val="002876A5"/>
    <w:rsid w:val="002929F1"/>
    <w:rsid w:val="002958FB"/>
    <w:rsid w:val="002A31EC"/>
    <w:rsid w:val="002A373D"/>
    <w:rsid w:val="002D5205"/>
    <w:rsid w:val="002E2F8E"/>
    <w:rsid w:val="002F738B"/>
    <w:rsid w:val="0032738E"/>
    <w:rsid w:val="0032747A"/>
    <w:rsid w:val="00356191"/>
    <w:rsid w:val="003B7013"/>
    <w:rsid w:val="003C1180"/>
    <w:rsid w:val="003D4411"/>
    <w:rsid w:val="003F09EE"/>
    <w:rsid w:val="00432E47"/>
    <w:rsid w:val="00457DD1"/>
    <w:rsid w:val="00497612"/>
    <w:rsid w:val="004A0A0C"/>
    <w:rsid w:val="004A6EC8"/>
    <w:rsid w:val="004D0AEA"/>
    <w:rsid w:val="004D2407"/>
    <w:rsid w:val="004D7F7B"/>
    <w:rsid w:val="00500BD5"/>
    <w:rsid w:val="00512848"/>
    <w:rsid w:val="005226F1"/>
    <w:rsid w:val="00527926"/>
    <w:rsid w:val="00531C05"/>
    <w:rsid w:val="00534009"/>
    <w:rsid w:val="00545927"/>
    <w:rsid w:val="005732B1"/>
    <w:rsid w:val="005854DD"/>
    <w:rsid w:val="005A3E12"/>
    <w:rsid w:val="005B081D"/>
    <w:rsid w:val="005B1979"/>
    <w:rsid w:val="005D7ABE"/>
    <w:rsid w:val="005F75A3"/>
    <w:rsid w:val="006046DA"/>
    <w:rsid w:val="00635B9C"/>
    <w:rsid w:val="00646C54"/>
    <w:rsid w:val="0068350F"/>
    <w:rsid w:val="006964B4"/>
    <w:rsid w:val="006F2DFA"/>
    <w:rsid w:val="006F4307"/>
    <w:rsid w:val="007075DD"/>
    <w:rsid w:val="007256D6"/>
    <w:rsid w:val="00730FBE"/>
    <w:rsid w:val="007314DE"/>
    <w:rsid w:val="00731621"/>
    <w:rsid w:val="00731D84"/>
    <w:rsid w:val="007901D8"/>
    <w:rsid w:val="007B00C5"/>
    <w:rsid w:val="00804E56"/>
    <w:rsid w:val="00851917"/>
    <w:rsid w:val="00854C64"/>
    <w:rsid w:val="00863C29"/>
    <w:rsid w:val="00864530"/>
    <w:rsid w:val="008768E2"/>
    <w:rsid w:val="008820CF"/>
    <w:rsid w:val="00893417"/>
    <w:rsid w:val="008A4634"/>
    <w:rsid w:val="008B1F83"/>
    <w:rsid w:val="008C3EFB"/>
    <w:rsid w:val="009106CC"/>
    <w:rsid w:val="00944DD6"/>
    <w:rsid w:val="00946AED"/>
    <w:rsid w:val="00952C63"/>
    <w:rsid w:val="00972FB9"/>
    <w:rsid w:val="009835EE"/>
    <w:rsid w:val="009C0D77"/>
    <w:rsid w:val="009E131B"/>
    <w:rsid w:val="00A00E8D"/>
    <w:rsid w:val="00A2023B"/>
    <w:rsid w:val="00A36B98"/>
    <w:rsid w:val="00A43F86"/>
    <w:rsid w:val="00A730C8"/>
    <w:rsid w:val="00A73538"/>
    <w:rsid w:val="00A73B58"/>
    <w:rsid w:val="00A85630"/>
    <w:rsid w:val="00B064AE"/>
    <w:rsid w:val="00B11028"/>
    <w:rsid w:val="00B12457"/>
    <w:rsid w:val="00B25A0E"/>
    <w:rsid w:val="00B576A6"/>
    <w:rsid w:val="00B66054"/>
    <w:rsid w:val="00B73439"/>
    <w:rsid w:val="00B8650C"/>
    <w:rsid w:val="00B867E3"/>
    <w:rsid w:val="00B96401"/>
    <w:rsid w:val="00BA1017"/>
    <w:rsid w:val="00BA6C92"/>
    <w:rsid w:val="00BC3AEE"/>
    <w:rsid w:val="00BC5080"/>
    <w:rsid w:val="00BE2214"/>
    <w:rsid w:val="00C13AF1"/>
    <w:rsid w:val="00C20DBC"/>
    <w:rsid w:val="00C67A0C"/>
    <w:rsid w:val="00C87EC2"/>
    <w:rsid w:val="00C95731"/>
    <w:rsid w:val="00CA080B"/>
    <w:rsid w:val="00CA2381"/>
    <w:rsid w:val="00CA55AA"/>
    <w:rsid w:val="00CA6EC3"/>
    <w:rsid w:val="00CD6AD9"/>
    <w:rsid w:val="00CE27D6"/>
    <w:rsid w:val="00D1773E"/>
    <w:rsid w:val="00D339FE"/>
    <w:rsid w:val="00D526E3"/>
    <w:rsid w:val="00D605E3"/>
    <w:rsid w:val="00D7421F"/>
    <w:rsid w:val="00D77BAB"/>
    <w:rsid w:val="00D91DD9"/>
    <w:rsid w:val="00DA0A78"/>
    <w:rsid w:val="00DA6F0A"/>
    <w:rsid w:val="00DB6AAB"/>
    <w:rsid w:val="00DC130F"/>
    <w:rsid w:val="00DE6480"/>
    <w:rsid w:val="00E17C66"/>
    <w:rsid w:val="00E34346"/>
    <w:rsid w:val="00E518BE"/>
    <w:rsid w:val="00E67BC8"/>
    <w:rsid w:val="00E67BF8"/>
    <w:rsid w:val="00E70F40"/>
    <w:rsid w:val="00E74B84"/>
    <w:rsid w:val="00E8070C"/>
    <w:rsid w:val="00E82BEC"/>
    <w:rsid w:val="00EB384E"/>
    <w:rsid w:val="00EC6DA2"/>
    <w:rsid w:val="00ED0977"/>
    <w:rsid w:val="00F40EBD"/>
    <w:rsid w:val="00F46D06"/>
    <w:rsid w:val="00F86E86"/>
    <w:rsid w:val="00FC27AE"/>
    <w:rsid w:val="00FD6580"/>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1A6988-9F5B-4B30-A184-9F17DE4A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4B4"/>
    <w:pPr>
      <w:spacing w:before="120" w:after="120" w:line="276" w:lineRule="auto"/>
    </w:pPr>
    <w:rPr>
      <w:rFonts w:asciiTheme="minorHAnsi" w:hAnsiTheme="minorHAnsi"/>
    </w:rPr>
  </w:style>
  <w:style w:type="paragraph" w:styleId="Heading1">
    <w:name w:val="heading 1"/>
    <w:basedOn w:val="Normal"/>
    <w:next w:val="Normal"/>
    <w:qFormat/>
    <w:rsid w:val="00946AED"/>
    <w:pPr>
      <w:keepNext/>
      <w:pageBreakBefore/>
      <w:pBdr>
        <w:top w:val="single" w:sz="18" w:space="1" w:color="7D3C4A" w:themeColor="accent6"/>
      </w:pBdr>
      <w:spacing w:after="240"/>
      <w:outlineLvl w:val="0"/>
    </w:pPr>
    <w:rPr>
      <w:rFonts w:asciiTheme="majorHAnsi" w:hAnsiTheme="majorHAnsi"/>
      <w:b/>
      <w:sz w:val="26"/>
    </w:rPr>
  </w:style>
  <w:style w:type="paragraph" w:styleId="Heading2">
    <w:name w:val="heading 2"/>
    <w:basedOn w:val="Normal"/>
    <w:next w:val="Normal"/>
    <w:qFormat/>
    <w:rsid w:val="001B5125"/>
    <w:pPr>
      <w:keepNext/>
      <w:spacing w:before="240" w:after="60"/>
      <w:outlineLvl w:val="1"/>
    </w:pPr>
    <w:rPr>
      <w:b/>
      <w:sz w:val="22"/>
    </w:rPr>
  </w:style>
  <w:style w:type="paragraph" w:styleId="Heading3">
    <w:name w:val="heading 3"/>
    <w:basedOn w:val="Normal"/>
    <w:next w:val="Normal"/>
    <w:qFormat/>
    <w:rsid w:val="006964B4"/>
    <w:pPr>
      <w:outlineLvl w:val="2"/>
    </w:pPr>
    <w:rPr>
      <w:rFonts w:eastAsia="Times New Roman"/>
      <w:b/>
      <w:bCs/>
      <w:i/>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576A6"/>
    <w:pPr>
      <w:spacing w:before="0" w:after="200" w:line="240" w:lineRule="auto"/>
    </w:pPr>
    <w:rPr>
      <w:sz w:val="24"/>
    </w:rPr>
  </w:style>
  <w:style w:type="paragraph" w:styleId="Footer">
    <w:name w:val="footer"/>
    <w:basedOn w:val="Normal"/>
    <w:autoRedefine/>
    <w:unhideWhenUsed/>
    <w:qFormat/>
    <w:rsid w:val="00946AED"/>
    <w:pPr>
      <w:pBdr>
        <w:top w:val="single" w:sz="4" w:space="1" w:color="7D3C4A" w:themeColor="accent6"/>
      </w:pBdr>
      <w:tabs>
        <w:tab w:val="center" w:pos="5040"/>
        <w:tab w:val="right" w:pos="10080"/>
      </w:tabs>
    </w:pPr>
    <w:rPr>
      <w:sz w:val="16"/>
    </w:rPr>
  </w:style>
  <w:style w:type="paragraph" w:customStyle="1" w:styleId="PresentedBy">
    <w:name w:val="Presented By"/>
    <w:basedOn w:val="Subtitle"/>
    <w:autoRedefine/>
    <w:qFormat/>
    <w:rsid w:val="006964B4"/>
    <w:pPr>
      <w:spacing w:before="360"/>
    </w:pPr>
    <w:rPr>
      <w:noProof/>
      <w:color w:val="808080" w:themeColor="background1" w:themeShade="80"/>
      <w:szCs w:val="22"/>
    </w:rPr>
  </w:style>
  <w:style w:type="paragraph" w:styleId="Subtitle">
    <w:name w:val="Subtitle"/>
    <w:basedOn w:val="Normal"/>
    <w:next w:val="Normal"/>
    <w:link w:val="SubtitleChar"/>
    <w:qFormat/>
    <w:rsid w:val="00D77BAB"/>
    <w:pPr>
      <w:spacing w:before="600"/>
      <w:contextualSpacing/>
      <w:jc w:val="right"/>
    </w:pPr>
    <w:rPr>
      <w:color w:val="A6A6A6" w:themeColor="background1" w:themeShade="A6"/>
      <w:sz w:val="24"/>
    </w:rPr>
  </w:style>
  <w:style w:type="character" w:customStyle="1" w:styleId="SubtitleChar">
    <w:name w:val="Subtitle Char"/>
    <w:basedOn w:val="DefaultParagraphFont"/>
    <w:link w:val="Subtitle"/>
    <w:rsid w:val="00D77BAB"/>
    <w:rPr>
      <w:rFonts w:asciiTheme="minorHAnsi" w:hAnsiTheme="minorHAnsi"/>
      <w:color w:val="A6A6A6" w:themeColor="background1" w:themeShade="A6"/>
      <w:sz w:val="24"/>
    </w:rPr>
  </w:style>
  <w:style w:type="character" w:styleId="PlaceholderText">
    <w:name w:val="Placeholder Text"/>
    <w:basedOn w:val="DefaultParagraphFont"/>
    <w:uiPriority w:val="99"/>
    <w:semiHidden/>
    <w:rsid w:val="001B5125"/>
    <w:rPr>
      <w:color w:val="808080"/>
    </w:rPr>
  </w:style>
  <w:style w:type="paragraph" w:styleId="Title">
    <w:name w:val="Title"/>
    <w:basedOn w:val="Normal"/>
    <w:next w:val="Normal"/>
    <w:link w:val="TitleChar"/>
    <w:qFormat/>
    <w:rsid w:val="00ED0977"/>
    <w:pPr>
      <w:pBdr>
        <w:top w:val="single" w:sz="18" w:space="1" w:color="7D3C4A" w:themeColor="accent6"/>
      </w:pBdr>
      <w:jc w:val="right"/>
    </w:pPr>
    <w:rPr>
      <w:rFonts w:asciiTheme="majorHAnsi" w:hAnsiTheme="majorHAnsi"/>
      <w:color w:val="404040" w:themeColor="text1" w:themeTint="BF"/>
      <w:sz w:val="48"/>
    </w:rPr>
  </w:style>
  <w:style w:type="character" w:customStyle="1" w:styleId="TitleChar">
    <w:name w:val="Title Char"/>
    <w:basedOn w:val="DefaultParagraphFont"/>
    <w:link w:val="Title"/>
    <w:rsid w:val="00ED0977"/>
    <w:rPr>
      <w:rFonts w:asciiTheme="majorHAnsi" w:hAnsiTheme="majorHAnsi"/>
      <w:color w:val="404040" w:themeColor="text1" w:themeTint="BF"/>
      <w:sz w:val="48"/>
    </w:rPr>
  </w:style>
  <w:style w:type="paragraph" w:customStyle="1" w:styleId="ColumnHeading">
    <w:name w:val="Column Heading"/>
    <w:basedOn w:val="Normal"/>
    <w:autoRedefine/>
    <w:qFormat/>
    <w:rsid w:val="006964B4"/>
    <w:pPr>
      <w:jc w:val="center"/>
    </w:pPr>
    <w:rPr>
      <w:rFonts w:asciiTheme="majorHAnsi" w:eastAsia="Times New Roman" w:hAnsiTheme="majorHAnsi"/>
      <w:b/>
      <w:color w:val="FFFFFF" w:themeColor="background1"/>
      <w:sz w:val="22"/>
    </w:rPr>
  </w:style>
  <w:style w:type="paragraph" w:styleId="ListParagraph">
    <w:name w:val="List Paragraph"/>
    <w:basedOn w:val="NumberedBlockText"/>
    <w:uiPriority w:val="34"/>
    <w:qFormat/>
    <w:rsid w:val="006964B4"/>
  </w:style>
  <w:style w:type="paragraph" w:customStyle="1" w:styleId="TableText">
    <w:name w:val="Table Text"/>
    <w:basedOn w:val="Normal"/>
    <w:autoRedefine/>
    <w:qFormat/>
    <w:rsid w:val="00D77BAB"/>
    <w:pPr>
      <w:ind w:left="115" w:right="115"/>
    </w:pPr>
    <w:rPr>
      <w:rFonts w:eastAsia="Times New Roman"/>
    </w:rPr>
  </w:style>
  <w:style w:type="character" w:customStyle="1" w:styleId="HeaderChar">
    <w:name w:val="Header Char"/>
    <w:basedOn w:val="DefaultParagraphFont"/>
    <w:link w:val="Header"/>
    <w:rsid w:val="00B576A6"/>
    <w:rPr>
      <w:rFonts w:asciiTheme="minorHAnsi" w:hAnsiTheme="minorHAnsi"/>
      <w:sz w:val="24"/>
    </w:rPr>
  </w:style>
  <w:style w:type="table" w:styleId="TableGrid">
    <w:name w:val="Table Grid"/>
    <w:basedOn w:val="TableNormal"/>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063237"/>
    <w:pPr>
      <w:spacing w:after="240"/>
    </w:pPr>
    <w:rPr>
      <w:rFonts w:ascii="Arial" w:eastAsia="Times New Roman" w:hAnsi="Arial"/>
    </w:rPr>
  </w:style>
  <w:style w:type="paragraph" w:customStyle="1" w:styleId="NumberedBlockText">
    <w:name w:val="Numbered Block Text"/>
    <w:basedOn w:val="Normal"/>
    <w:semiHidden/>
    <w:unhideWhenUsed/>
    <w:rsid w:val="00CE27D6"/>
    <w:pPr>
      <w:numPr>
        <w:numId w:val="15"/>
      </w:numPr>
      <w:ind w:left="821"/>
    </w:pPr>
    <w:rPr>
      <w:szCs w:val="24"/>
    </w:rPr>
  </w:style>
  <w:style w:type="paragraph" w:styleId="BalloonText">
    <w:name w:val="Balloon Text"/>
    <w:basedOn w:val="Normal"/>
    <w:semiHidden/>
    <w:unhideWhenUsed/>
    <w:rsid w:val="005A3E12"/>
    <w:rPr>
      <w:rFonts w:ascii="Tahoma" w:hAnsi="Tahoma" w:cs="Tahoma"/>
      <w:sz w:val="16"/>
      <w:szCs w:val="16"/>
    </w:rPr>
  </w:style>
  <w:style w:type="character" w:styleId="CommentReference">
    <w:name w:val="annotation reference"/>
    <w:basedOn w:val="DefaultParagraphFont"/>
    <w:semiHidden/>
    <w:rsid w:val="005A3E12"/>
    <w:rPr>
      <w:sz w:val="16"/>
      <w:szCs w:val="16"/>
    </w:rPr>
  </w:style>
  <w:style w:type="paragraph" w:styleId="CommentSubject">
    <w:name w:val="annotation subject"/>
    <w:basedOn w:val="CommentText"/>
    <w:next w:val="CommentText"/>
    <w:semiHidden/>
    <w:rsid w:val="005A3E12"/>
    <w:pPr>
      <w:spacing w:after="0"/>
    </w:pPr>
    <w:rPr>
      <w:rFonts w:ascii="Verdana" w:eastAsia="Times" w:hAnsi="Verdana"/>
      <w:b/>
      <w:bCs/>
    </w:rPr>
  </w:style>
  <w:style w:type="paragraph" w:customStyle="1" w:styleId="CompanyName">
    <w:name w:val="Company Name"/>
    <w:basedOn w:val="Normal"/>
    <w:autoRedefine/>
    <w:qFormat/>
    <w:rsid w:val="00946AED"/>
    <w:pPr>
      <w:spacing w:before="2880"/>
      <w:jc w:val="right"/>
    </w:pPr>
    <w:rPr>
      <w:color w:val="7D3C4A" w:themeColor="accent6"/>
      <w:sz w:val="36"/>
    </w:rPr>
  </w:style>
  <w:style w:type="paragraph" w:customStyle="1" w:styleId="Logo">
    <w:name w:val="Logo"/>
    <w:basedOn w:val="Normal"/>
    <w:next w:val="CompanyName"/>
    <w:autoRedefine/>
    <w:unhideWhenUsed/>
    <w:qFormat/>
    <w:rsid w:val="00731D84"/>
    <w:pPr>
      <w:spacing w:before="960"/>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AppData\Roaming\Microsoft\Templates\Performance%20measurement%20strate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6ACE71A7CA417785884FB32D3019E8"/>
        <w:category>
          <w:name w:val="General"/>
          <w:gallery w:val="placeholder"/>
        </w:category>
        <w:types>
          <w:type w:val="bbPlcHdr"/>
        </w:types>
        <w:behaviors>
          <w:behavior w:val="content"/>
        </w:behaviors>
        <w:guid w:val="{8A31428F-DA04-4CBE-BF2C-3AFC17760EFB}"/>
      </w:docPartPr>
      <w:docPartBody>
        <w:p w:rsidR="00000000" w:rsidRDefault="002D4886">
          <w:pPr>
            <w:pStyle w:val="6B6ACE71A7CA417785884FB32D3019E8"/>
          </w:pPr>
          <w:r>
            <w:t>[Company Name]</w:t>
          </w:r>
        </w:p>
      </w:docPartBody>
    </w:docPart>
    <w:docPart>
      <w:docPartPr>
        <w:name w:val="D3A66B1985E44F168890D53BE08A5449"/>
        <w:category>
          <w:name w:val="General"/>
          <w:gallery w:val="placeholder"/>
        </w:category>
        <w:types>
          <w:type w:val="bbPlcHdr"/>
        </w:types>
        <w:behaviors>
          <w:behavior w:val="content"/>
        </w:behaviors>
        <w:guid w:val="{464550DF-4D38-45A6-AC84-5C43A11D9169}"/>
      </w:docPartPr>
      <w:docPartBody>
        <w:p w:rsidR="00000000" w:rsidRDefault="002D4886">
          <w:pPr>
            <w:pStyle w:val="D3A66B1985E44F168890D53BE08A5449"/>
          </w:pPr>
          <w:r w:rsidRPr="001B5125">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86"/>
    <w:rsid w:val="002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ACE71A7CA417785884FB32D3019E8">
    <w:name w:val="6B6ACE71A7CA417785884FB32D3019E8"/>
  </w:style>
  <w:style w:type="paragraph" w:customStyle="1" w:styleId="C4055D76E98B4518BC81AADA6797D8DE">
    <w:name w:val="C4055D76E98B4518BC81AADA6797D8DE"/>
  </w:style>
  <w:style w:type="paragraph" w:customStyle="1" w:styleId="D3A66B1985E44F168890D53BE08A5449">
    <w:name w:val="D3A66B1985E44F168890D53BE08A5449"/>
  </w:style>
  <w:style w:type="paragraph" w:customStyle="1" w:styleId="F480E87BAC7644469C2134A6C37096FF">
    <w:name w:val="F480E87BAC7644469C2134A6C37096FF"/>
  </w:style>
  <w:style w:type="paragraph" w:customStyle="1" w:styleId="288BF28A77984D5F979EBE067A81DF39">
    <w:name w:val="288BF28A77984D5F979EBE067A81DF39"/>
  </w:style>
  <w:style w:type="paragraph" w:customStyle="1" w:styleId="F4758DAF488C4C86A367AC45E8D3BBA3">
    <w:name w:val="F4758DAF488C4C86A367AC45E8D3BBA3"/>
  </w:style>
  <w:style w:type="paragraph" w:customStyle="1" w:styleId="2CD6B5751D8F410DAA38D0C9A848A2FB">
    <w:name w:val="2CD6B5751D8F410DAA38D0C9A848A2FB"/>
  </w:style>
  <w:style w:type="paragraph" w:customStyle="1" w:styleId="4FCA935CCAEA483D847D028D0F5F8EB4">
    <w:name w:val="4FCA935CCAEA483D847D028D0F5F8EB4"/>
  </w:style>
  <w:style w:type="paragraph" w:customStyle="1" w:styleId="BB2DD4F4CD094516A264DB0D423E1172">
    <w:name w:val="BB2DD4F4CD094516A264DB0D423E1172"/>
  </w:style>
  <w:style w:type="paragraph" w:customStyle="1" w:styleId="1D21405646E540199A03072DBA0707CA">
    <w:name w:val="1D21405646E540199A03072DBA0707CA"/>
  </w:style>
  <w:style w:type="paragraph" w:customStyle="1" w:styleId="A290493A5C894E4EAB97BA545FB100F7">
    <w:name w:val="A290493A5C894E4EAB97BA545FB100F7"/>
  </w:style>
  <w:style w:type="paragraph" w:customStyle="1" w:styleId="6EE62703B9834C5D91E672D3EE4B0A0C">
    <w:name w:val="6EE62703B9834C5D91E672D3EE4B0A0C"/>
  </w:style>
  <w:style w:type="paragraph" w:customStyle="1" w:styleId="D8DA9727E57E4780BADFC3E1DB210FF1">
    <w:name w:val="D8DA9727E57E4780BADFC3E1DB210FF1"/>
  </w:style>
  <w:style w:type="paragraph" w:customStyle="1" w:styleId="BC986BC73FC54244BD609BF45E3EFF25">
    <w:name w:val="BC986BC73FC54244BD609BF45E3EFF25"/>
  </w:style>
  <w:style w:type="paragraph" w:customStyle="1" w:styleId="8E8702D6BB2A44E79CC8E5856AFDAE24">
    <w:name w:val="8E8702D6BB2A44E79CC8E5856AFDAE24"/>
  </w:style>
  <w:style w:type="paragraph" w:customStyle="1" w:styleId="55976E82FAE24F79BE546668BA3CEDC1">
    <w:name w:val="55976E82FAE24F79BE546668BA3CEDC1"/>
  </w:style>
  <w:style w:type="paragraph" w:customStyle="1" w:styleId="7335A165F87F45AE8DAEA131E2277AD8">
    <w:name w:val="7335A165F87F45AE8DAEA131E2277AD8"/>
  </w:style>
  <w:style w:type="paragraph" w:customStyle="1" w:styleId="4079F82903054F11B1D1949A29B5CA8D">
    <w:name w:val="4079F82903054F11B1D1949A29B5CA8D"/>
  </w:style>
  <w:style w:type="paragraph" w:customStyle="1" w:styleId="3687BB95624A4749AF27956B7F630CA8">
    <w:name w:val="3687BB95624A4749AF27956B7F630CA8"/>
  </w:style>
  <w:style w:type="paragraph" w:customStyle="1" w:styleId="7BFA123BFEC149A588493609125FFB50">
    <w:name w:val="7BFA123BFEC149A588493609125FFB50"/>
  </w:style>
  <w:style w:type="paragraph" w:customStyle="1" w:styleId="B216A203F6074915BE6D2F7D8657CDC2">
    <w:name w:val="B216A203F6074915BE6D2F7D8657CDC2"/>
  </w:style>
  <w:style w:type="paragraph" w:customStyle="1" w:styleId="67E560E33F4E4CB988C11E392A3E6264">
    <w:name w:val="67E560E33F4E4CB988C11E392A3E6264"/>
  </w:style>
  <w:style w:type="paragraph" w:customStyle="1" w:styleId="B96A33A65CEE4009B8A27E2CC7147E14">
    <w:name w:val="B96A33A65CEE4009B8A27E2CC7147E14"/>
  </w:style>
  <w:style w:type="paragraph" w:customStyle="1" w:styleId="D9818C78CD8F4758AF15A773355A195B">
    <w:name w:val="D9818C78CD8F4758AF15A773355A195B"/>
  </w:style>
  <w:style w:type="paragraph" w:customStyle="1" w:styleId="A6C2C172A5AA4571A3470F7F4C422B00">
    <w:name w:val="A6C2C172A5AA4571A3470F7F4C422B00"/>
  </w:style>
  <w:style w:type="paragraph" w:customStyle="1" w:styleId="5C3C494CD88A4353976ED3505801A878">
    <w:name w:val="5C3C494CD88A4353976ED3505801A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654DA7-2B49-44CD-91ED-A5E131A28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 measurement strategy</Template>
  <TotalTime>21</TotalTime>
  <Pages>4</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Performance measurement strategy</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strategy</dc:title>
  <dc:subject>U.S. Retail Banking Industry Analysis</dc:subject>
  <dc:creator>Alyssa</dc:creator>
  <cp:keywords/>
  <cp:lastModifiedBy>Alyssa Limones</cp:lastModifiedBy>
  <cp:revision>1</cp:revision>
  <cp:lastPrinted>2004-05-27T16:47:00Z</cp:lastPrinted>
  <dcterms:created xsi:type="dcterms:W3CDTF">2015-05-14T07:58:00Z</dcterms:created>
  <dcterms:modified xsi:type="dcterms:W3CDTF">2015-05-14T08:19:00Z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TC011871651033</vt:lpwstr>
  </property>
</Properties>
</file>