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73" w:rsidRPr="0020032A" w:rsidRDefault="00E00473" w:rsidP="004049BC">
      <w:pPr>
        <w:jc w:val="center"/>
        <w:rPr>
          <w:rFonts w:cs="Arial"/>
          <w:b/>
          <w:sz w:val="24"/>
          <w:szCs w:val="24"/>
        </w:rPr>
      </w:pPr>
      <w:bookmarkStart w:id="0" w:name="_GoBack"/>
      <w:bookmarkEnd w:id="0"/>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E00473" w:rsidRPr="0020032A" w:rsidRDefault="00E00473" w:rsidP="004049BC">
      <w:pPr>
        <w:jc w:val="center"/>
        <w:rPr>
          <w:rFonts w:cs="Arial"/>
          <w:b/>
          <w:sz w:val="24"/>
          <w:szCs w:val="24"/>
        </w:rPr>
      </w:pPr>
    </w:p>
    <w:p w:rsidR="004049BC" w:rsidRPr="0020032A" w:rsidRDefault="004049BC" w:rsidP="004049BC">
      <w:pPr>
        <w:jc w:val="center"/>
        <w:rPr>
          <w:rFonts w:cs="Arial"/>
          <w:b/>
          <w:sz w:val="30"/>
          <w:szCs w:val="24"/>
        </w:rPr>
      </w:pPr>
      <w:r w:rsidRPr="0020032A">
        <w:rPr>
          <w:rFonts w:cs="Arial"/>
          <w:b/>
          <w:sz w:val="30"/>
          <w:szCs w:val="24"/>
        </w:rPr>
        <w:t>Brief Analysis of the Investment Management Industry</w:t>
      </w:r>
      <w:r w:rsidR="007832BA" w:rsidRPr="0020032A">
        <w:rPr>
          <w:rFonts w:cs="Arial"/>
          <w:b/>
          <w:sz w:val="30"/>
          <w:szCs w:val="24"/>
        </w:rPr>
        <w:t xml:space="preserve"> with respect to Sovereign Fund Management </w:t>
      </w:r>
    </w:p>
    <w:p w:rsidR="00E00473" w:rsidRPr="0020032A" w:rsidRDefault="00E00473" w:rsidP="0036434A">
      <w:pPr>
        <w:rPr>
          <w:rFonts w:cs="Arial"/>
          <w:b/>
          <w:sz w:val="30"/>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E00473" w:rsidRPr="0020032A" w:rsidRDefault="00E00473" w:rsidP="0036434A">
      <w:pPr>
        <w:rPr>
          <w:rFonts w:cs="Arial"/>
          <w:b/>
          <w:sz w:val="24"/>
          <w:szCs w:val="24"/>
        </w:rPr>
      </w:pPr>
    </w:p>
    <w:p w:rsidR="0020032A" w:rsidRDefault="0020032A" w:rsidP="00E00473">
      <w:pPr>
        <w:jc w:val="center"/>
        <w:rPr>
          <w:rFonts w:ascii="Calibri" w:eastAsia="Times New Roman" w:hAnsi="Calibri" w:cs="Times New Roman"/>
          <w:b/>
          <w:color w:val="000000"/>
          <w:sz w:val="24"/>
          <w:szCs w:val="24"/>
          <w:u w:val="single"/>
        </w:rPr>
      </w:pPr>
    </w:p>
    <w:p w:rsidR="00E00473" w:rsidRPr="0020032A" w:rsidRDefault="00E00473" w:rsidP="00E00473">
      <w:pPr>
        <w:jc w:val="center"/>
        <w:rPr>
          <w:rFonts w:cs="Arial"/>
          <w:b/>
          <w:sz w:val="28"/>
          <w:szCs w:val="24"/>
          <w:u w:val="single"/>
        </w:rPr>
      </w:pPr>
      <w:r w:rsidRPr="0020032A">
        <w:rPr>
          <w:rFonts w:ascii="Calibri" w:eastAsia="Times New Roman" w:hAnsi="Calibri" w:cs="Times New Roman"/>
          <w:b/>
          <w:color w:val="000000"/>
          <w:sz w:val="28"/>
          <w:szCs w:val="24"/>
          <w:u w:val="single"/>
        </w:rPr>
        <w:lastRenderedPageBreak/>
        <w:t>INDUSTRY OVERVIEW Section:</w:t>
      </w:r>
    </w:p>
    <w:p w:rsidR="0036434A" w:rsidRPr="0020032A" w:rsidRDefault="0036434A" w:rsidP="0036434A">
      <w:pPr>
        <w:rPr>
          <w:rFonts w:cs="Arial"/>
          <w:b/>
          <w:sz w:val="24"/>
          <w:szCs w:val="24"/>
        </w:rPr>
      </w:pPr>
      <w:r w:rsidRPr="0020032A">
        <w:rPr>
          <w:rFonts w:cs="Arial"/>
          <w:b/>
          <w:sz w:val="24"/>
          <w:szCs w:val="24"/>
        </w:rPr>
        <w:t>Overview:</w:t>
      </w:r>
    </w:p>
    <w:p w:rsidR="0036434A" w:rsidRPr="0020032A" w:rsidRDefault="0036434A" w:rsidP="0036434A">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color w:val="363636"/>
        </w:rPr>
        <w:tab/>
        <w:t xml:space="preserve">The core of Investment management is the use of other people money for the sake of taking gain and benefiting both the investor and investment </w:t>
      </w:r>
      <w:r w:rsidR="00B13BA4" w:rsidRPr="0020032A">
        <w:rPr>
          <w:rFonts w:asciiTheme="minorHAnsi" w:hAnsiTheme="minorHAnsi"/>
          <w:color w:val="363636"/>
        </w:rPr>
        <w:t>Management Company</w:t>
      </w:r>
      <w:r w:rsidRPr="0020032A">
        <w:rPr>
          <w:rFonts w:asciiTheme="minorHAnsi" w:hAnsiTheme="minorHAnsi"/>
          <w:color w:val="363636"/>
        </w:rPr>
        <w:t>. It is the “buy side” of the broader financial industry. Investment managers</w:t>
      </w:r>
      <w:r w:rsidR="00B13BA4" w:rsidRPr="0020032A">
        <w:rPr>
          <w:rFonts w:asciiTheme="minorHAnsi" w:hAnsiTheme="minorHAnsi"/>
          <w:color w:val="363636"/>
        </w:rPr>
        <w:t xml:space="preserve"> make use of </w:t>
      </w:r>
      <w:proofErr w:type="spellStart"/>
      <w:r w:rsidR="00B13BA4" w:rsidRPr="0020032A">
        <w:rPr>
          <w:rFonts w:asciiTheme="minorHAnsi" w:hAnsiTheme="minorHAnsi"/>
          <w:color w:val="363636"/>
        </w:rPr>
        <w:t>the</w:t>
      </w:r>
      <w:r w:rsidRPr="0020032A">
        <w:rPr>
          <w:rFonts w:asciiTheme="minorHAnsi" w:hAnsiTheme="minorHAnsi"/>
          <w:color w:val="363636"/>
        </w:rPr>
        <w:t>r</w:t>
      </w:r>
      <w:proofErr w:type="spellEnd"/>
      <w:r w:rsidRPr="0020032A">
        <w:rPr>
          <w:rFonts w:asciiTheme="minorHAnsi" w:hAnsiTheme="minorHAnsi"/>
          <w:color w:val="363636"/>
        </w:rPr>
        <w:t xml:space="preserve"> clients’ money to </w:t>
      </w:r>
      <w:r w:rsidR="00B13BA4" w:rsidRPr="0020032A">
        <w:rPr>
          <w:rFonts w:asciiTheme="minorHAnsi" w:hAnsiTheme="minorHAnsi"/>
          <w:color w:val="363636"/>
        </w:rPr>
        <w:t xml:space="preserve">buy </w:t>
      </w:r>
      <w:r w:rsidRPr="0020032A">
        <w:rPr>
          <w:rFonts w:asciiTheme="minorHAnsi" w:hAnsiTheme="minorHAnsi"/>
          <w:color w:val="363636"/>
        </w:rPr>
        <w:t>common stocks (equities), bonds and other fixed-inco</w:t>
      </w:r>
      <w:r w:rsidR="00B13BA4" w:rsidRPr="0020032A">
        <w:rPr>
          <w:rFonts w:asciiTheme="minorHAnsi" w:hAnsiTheme="minorHAnsi"/>
          <w:color w:val="363636"/>
        </w:rPr>
        <w:t xml:space="preserve">me securities, commodities, or they may make use of </w:t>
      </w:r>
      <w:r w:rsidRPr="0020032A">
        <w:rPr>
          <w:rFonts w:asciiTheme="minorHAnsi" w:hAnsiTheme="minorHAnsi"/>
          <w:color w:val="363636"/>
        </w:rPr>
        <w:t xml:space="preserve">combination of any of these. </w:t>
      </w:r>
      <w:r w:rsidR="00B13BA4" w:rsidRPr="0020032A">
        <w:rPr>
          <w:rFonts w:asciiTheme="minorHAnsi" w:hAnsiTheme="minorHAnsi"/>
          <w:color w:val="363636"/>
        </w:rPr>
        <w:t xml:space="preserve">The clients can range from </w:t>
      </w:r>
      <w:r w:rsidRPr="0020032A">
        <w:rPr>
          <w:rFonts w:asciiTheme="minorHAnsi" w:hAnsiTheme="minorHAnsi"/>
          <w:color w:val="363636"/>
        </w:rPr>
        <w:t>companies, government agencies, non-profit organizations, and individuals</w:t>
      </w:r>
      <w:r w:rsidR="00B13BA4" w:rsidRPr="0020032A">
        <w:rPr>
          <w:rFonts w:asciiTheme="minorHAnsi" w:hAnsiTheme="minorHAnsi"/>
          <w:color w:val="363636"/>
        </w:rPr>
        <w:t xml:space="preserve"> so they are not limited and can provide services to anyone who requires them</w:t>
      </w:r>
      <w:r w:rsidRPr="0020032A">
        <w:rPr>
          <w:rFonts w:asciiTheme="minorHAnsi" w:hAnsiTheme="minorHAnsi"/>
          <w:color w:val="363636"/>
        </w:rPr>
        <w:t>.</w:t>
      </w:r>
    </w:p>
    <w:p w:rsidR="00B13BA4" w:rsidRPr="0020032A" w:rsidRDefault="00B13BA4" w:rsidP="0036434A">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color w:val="363636"/>
        </w:rPr>
        <w:t>The investment management company manages variety of financial instruments such as hedge funds, mutual funds, private equity, venture capital, and other financial investments for third parties, which include companies, pension funds, endowments, insurance companies, private banks, nonprofits, and individuals.</w:t>
      </w:r>
    </w:p>
    <w:p w:rsidR="00B13BA4" w:rsidRPr="0020032A" w:rsidRDefault="00B13BA4" w:rsidP="00B13BA4">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color w:val="363636"/>
        </w:rPr>
        <w:t>Brief description of these funds is as under for better understanding.</w:t>
      </w:r>
    </w:p>
    <w:p w:rsidR="00666DA6" w:rsidRPr="0020032A" w:rsidRDefault="0036434A" w:rsidP="00B13BA4">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i/>
          <w:color w:val="363636"/>
        </w:rPr>
        <w:t>Hedge funds</w:t>
      </w:r>
      <w:r w:rsidRPr="0020032A">
        <w:rPr>
          <w:rFonts w:asciiTheme="minorHAnsi" w:hAnsiTheme="minorHAnsi"/>
          <w:color w:val="363636"/>
        </w:rPr>
        <w:t xml:space="preserve"> </w:t>
      </w:r>
      <w:r w:rsidR="00B13BA4" w:rsidRPr="0020032A">
        <w:rPr>
          <w:rFonts w:asciiTheme="minorHAnsi" w:hAnsiTheme="minorHAnsi"/>
          <w:color w:val="363636"/>
        </w:rPr>
        <w:t>are p</w:t>
      </w:r>
      <w:r w:rsidRPr="0020032A">
        <w:rPr>
          <w:rFonts w:asciiTheme="minorHAnsi" w:hAnsiTheme="minorHAnsi"/>
          <w:color w:val="363636"/>
        </w:rPr>
        <w:t>rofessionally managed investment</w:t>
      </w:r>
      <w:r w:rsidR="00B13BA4" w:rsidRPr="0020032A">
        <w:rPr>
          <w:rFonts w:asciiTheme="minorHAnsi" w:hAnsiTheme="minorHAnsi"/>
          <w:color w:val="363636"/>
        </w:rPr>
        <w:t xml:space="preserve"> instruments which are more focused in positive returns, minimal change in value and keeping capital intact like all financial investments.</w:t>
      </w:r>
      <w:r w:rsidRPr="0020032A">
        <w:rPr>
          <w:rFonts w:asciiTheme="minorHAnsi" w:hAnsiTheme="minorHAnsi"/>
          <w:color w:val="363636"/>
        </w:rPr>
        <w:t xml:space="preserve"> </w:t>
      </w:r>
      <w:r w:rsidR="00666DA6" w:rsidRPr="0020032A">
        <w:rPr>
          <w:rFonts w:asciiTheme="minorHAnsi" w:hAnsiTheme="minorHAnsi"/>
          <w:color w:val="363636"/>
        </w:rPr>
        <w:t>A</w:t>
      </w:r>
      <w:r w:rsidRPr="0020032A">
        <w:rPr>
          <w:rFonts w:asciiTheme="minorHAnsi" w:hAnsiTheme="minorHAnsi"/>
          <w:color w:val="363636"/>
        </w:rPr>
        <w:t xml:space="preserve">pproximately </w:t>
      </w:r>
      <w:r w:rsidR="00666DA6" w:rsidRPr="0020032A">
        <w:rPr>
          <w:rFonts w:asciiTheme="minorHAnsi" w:hAnsiTheme="minorHAnsi"/>
          <w:color w:val="363636"/>
        </w:rPr>
        <w:t xml:space="preserve">assets of worth </w:t>
      </w:r>
      <w:r w:rsidRPr="0020032A">
        <w:rPr>
          <w:rFonts w:asciiTheme="minorHAnsi" w:hAnsiTheme="minorHAnsi"/>
          <w:color w:val="363636"/>
        </w:rPr>
        <w:t xml:space="preserve">$2.7 trillion </w:t>
      </w:r>
      <w:r w:rsidR="00666DA6" w:rsidRPr="0020032A">
        <w:rPr>
          <w:rFonts w:asciiTheme="minorHAnsi" w:hAnsiTheme="minorHAnsi"/>
          <w:color w:val="363636"/>
        </w:rPr>
        <w:t>have</w:t>
      </w:r>
      <w:r w:rsidRPr="0020032A">
        <w:rPr>
          <w:rFonts w:asciiTheme="minorHAnsi" w:hAnsiTheme="minorHAnsi"/>
          <w:color w:val="363636"/>
        </w:rPr>
        <w:t xml:space="preserve"> been managed</w:t>
      </w:r>
      <w:r w:rsidR="00666DA6" w:rsidRPr="0020032A">
        <w:rPr>
          <w:rFonts w:asciiTheme="minorHAnsi" w:hAnsiTheme="minorHAnsi"/>
          <w:color w:val="363636"/>
        </w:rPr>
        <w:t xml:space="preserve"> across globe courtesy these </w:t>
      </w:r>
      <w:r w:rsidRPr="0020032A">
        <w:rPr>
          <w:rFonts w:asciiTheme="minorHAnsi" w:hAnsiTheme="minorHAnsi"/>
          <w:color w:val="363636"/>
        </w:rPr>
        <w:t xml:space="preserve">funds. </w:t>
      </w:r>
    </w:p>
    <w:p w:rsidR="00666DA6" w:rsidRPr="0020032A" w:rsidRDefault="0036434A" w:rsidP="00B13BA4">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i/>
          <w:color w:val="363636"/>
        </w:rPr>
        <w:t>Mutual funds</w:t>
      </w:r>
      <w:r w:rsidRPr="0020032A">
        <w:rPr>
          <w:rFonts w:asciiTheme="minorHAnsi" w:hAnsiTheme="minorHAnsi"/>
          <w:color w:val="363636"/>
        </w:rPr>
        <w:t xml:space="preserve"> are a group of financial assets (such as stocks) </w:t>
      </w:r>
      <w:r w:rsidR="00666DA6" w:rsidRPr="0020032A">
        <w:rPr>
          <w:rFonts w:asciiTheme="minorHAnsi" w:hAnsiTheme="minorHAnsi"/>
          <w:color w:val="363636"/>
        </w:rPr>
        <w:t xml:space="preserve">and </w:t>
      </w:r>
      <w:r w:rsidRPr="0020032A">
        <w:rPr>
          <w:rFonts w:asciiTheme="minorHAnsi" w:hAnsiTheme="minorHAnsi"/>
          <w:color w:val="363636"/>
        </w:rPr>
        <w:t xml:space="preserve">are </w:t>
      </w:r>
      <w:r w:rsidR="00666DA6" w:rsidRPr="0020032A">
        <w:rPr>
          <w:rFonts w:asciiTheme="minorHAnsi" w:hAnsiTheme="minorHAnsi"/>
          <w:color w:val="363636"/>
        </w:rPr>
        <w:t>handled</w:t>
      </w:r>
      <w:r w:rsidRPr="0020032A">
        <w:rPr>
          <w:rFonts w:asciiTheme="minorHAnsi" w:hAnsiTheme="minorHAnsi"/>
          <w:color w:val="363636"/>
        </w:rPr>
        <w:t xml:space="preserve"> by a portfolio manager. </w:t>
      </w:r>
      <w:r w:rsidR="00666DA6" w:rsidRPr="0020032A">
        <w:rPr>
          <w:rFonts w:asciiTheme="minorHAnsi" w:hAnsiTheme="minorHAnsi"/>
          <w:color w:val="363636"/>
        </w:rPr>
        <w:t xml:space="preserve">Approximately assets of worth </w:t>
      </w:r>
      <w:r w:rsidRPr="0020032A">
        <w:rPr>
          <w:rFonts w:asciiTheme="minorHAnsi" w:hAnsiTheme="minorHAnsi"/>
          <w:color w:val="363636"/>
        </w:rPr>
        <w:t xml:space="preserve">$15 trillion mutual fund had been managed </w:t>
      </w:r>
      <w:r w:rsidR="00666DA6" w:rsidRPr="0020032A">
        <w:rPr>
          <w:rFonts w:asciiTheme="minorHAnsi" w:hAnsiTheme="minorHAnsi"/>
          <w:color w:val="363636"/>
        </w:rPr>
        <w:t>across globe</w:t>
      </w:r>
      <w:r w:rsidRPr="0020032A">
        <w:rPr>
          <w:rFonts w:asciiTheme="minorHAnsi" w:hAnsiTheme="minorHAnsi"/>
          <w:color w:val="363636"/>
        </w:rPr>
        <w:t xml:space="preserve"> in 2013. </w:t>
      </w:r>
    </w:p>
    <w:p w:rsidR="00666DA6" w:rsidRPr="0020032A" w:rsidRDefault="0036434A" w:rsidP="00B13BA4">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i/>
          <w:color w:val="363636"/>
        </w:rPr>
        <w:t>Private equity</w:t>
      </w:r>
      <w:r w:rsidRPr="0020032A">
        <w:rPr>
          <w:rFonts w:asciiTheme="minorHAnsi" w:hAnsiTheme="minorHAnsi"/>
          <w:color w:val="363636"/>
        </w:rPr>
        <w:t xml:space="preserve"> </w:t>
      </w:r>
      <w:r w:rsidR="00666DA6" w:rsidRPr="0020032A">
        <w:rPr>
          <w:rFonts w:asciiTheme="minorHAnsi" w:hAnsiTheme="minorHAnsi"/>
          <w:color w:val="363636"/>
        </w:rPr>
        <w:t xml:space="preserve">constitutes </w:t>
      </w:r>
      <w:r w:rsidRPr="0020032A">
        <w:rPr>
          <w:rFonts w:asciiTheme="minorHAnsi" w:hAnsiTheme="minorHAnsi"/>
          <w:color w:val="363636"/>
        </w:rPr>
        <w:t xml:space="preserve">funds </w:t>
      </w:r>
      <w:r w:rsidR="00666DA6" w:rsidRPr="0020032A">
        <w:rPr>
          <w:rFonts w:asciiTheme="minorHAnsi" w:hAnsiTheme="minorHAnsi"/>
          <w:color w:val="363636"/>
        </w:rPr>
        <w:t>received</w:t>
      </w:r>
      <w:r w:rsidRPr="0020032A">
        <w:rPr>
          <w:rFonts w:asciiTheme="minorHAnsi" w:hAnsiTheme="minorHAnsi"/>
          <w:color w:val="363636"/>
        </w:rPr>
        <w:t xml:space="preserve"> from investors </w:t>
      </w:r>
      <w:r w:rsidR="00666DA6" w:rsidRPr="0020032A">
        <w:rPr>
          <w:rFonts w:asciiTheme="minorHAnsi" w:hAnsiTheme="minorHAnsi"/>
          <w:color w:val="363636"/>
        </w:rPr>
        <w:t xml:space="preserve">and further </w:t>
      </w:r>
      <w:r w:rsidRPr="0020032A">
        <w:rPr>
          <w:rFonts w:asciiTheme="minorHAnsi" w:hAnsiTheme="minorHAnsi"/>
          <w:color w:val="363636"/>
        </w:rPr>
        <w:t xml:space="preserve">invested in </w:t>
      </w:r>
      <w:r w:rsidR="00666DA6" w:rsidRPr="0020032A">
        <w:rPr>
          <w:rFonts w:asciiTheme="minorHAnsi" w:hAnsiTheme="minorHAnsi"/>
          <w:color w:val="363636"/>
        </w:rPr>
        <w:t>seasoned</w:t>
      </w:r>
      <w:r w:rsidRPr="0020032A">
        <w:rPr>
          <w:rFonts w:asciiTheme="minorHAnsi" w:hAnsiTheme="minorHAnsi"/>
          <w:color w:val="363636"/>
        </w:rPr>
        <w:t xml:space="preserve"> private companies. </w:t>
      </w:r>
      <w:r w:rsidR="00666DA6" w:rsidRPr="0020032A">
        <w:rPr>
          <w:rFonts w:asciiTheme="minorHAnsi" w:hAnsiTheme="minorHAnsi"/>
          <w:color w:val="363636"/>
        </w:rPr>
        <w:t xml:space="preserve">The main idea of </w:t>
      </w:r>
      <w:r w:rsidRPr="0020032A">
        <w:rPr>
          <w:rFonts w:asciiTheme="minorHAnsi" w:hAnsiTheme="minorHAnsi"/>
          <w:color w:val="363636"/>
        </w:rPr>
        <w:t>private equity firms</w:t>
      </w:r>
      <w:r w:rsidR="00666DA6" w:rsidRPr="0020032A">
        <w:rPr>
          <w:rFonts w:asciiTheme="minorHAnsi" w:hAnsiTheme="minorHAnsi"/>
          <w:color w:val="363636"/>
        </w:rPr>
        <w:t xml:space="preserve"> is to create </w:t>
      </w:r>
      <w:r w:rsidRPr="0020032A">
        <w:rPr>
          <w:rFonts w:asciiTheme="minorHAnsi" w:hAnsiTheme="minorHAnsi"/>
          <w:color w:val="363636"/>
        </w:rPr>
        <w:t xml:space="preserve">an equity stake in the company </w:t>
      </w:r>
      <w:r w:rsidR="00666DA6" w:rsidRPr="0020032A">
        <w:rPr>
          <w:rFonts w:asciiTheme="minorHAnsi" w:hAnsiTheme="minorHAnsi"/>
          <w:color w:val="363636"/>
        </w:rPr>
        <w:t>and in long term</w:t>
      </w:r>
      <w:r w:rsidRPr="0020032A">
        <w:rPr>
          <w:rFonts w:asciiTheme="minorHAnsi" w:hAnsiTheme="minorHAnsi"/>
          <w:color w:val="363636"/>
        </w:rPr>
        <w:t xml:space="preserve"> taking over the company </w:t>
      </w:r>
      <w:r w:rsidR="00666DA6" w:rsidRPr="0020032A">
        <w:rPr>
          <w:rFonts w:asciiTheme="minorHAnsi" w:hAnsiTheme="minorHAnsi"/>
          <w:color w:val="363636"/>
        </w:rPr>
        <w:t>making</w:t>
      </w:r>
      <w:r w:rsidRPr="0020032A">
        <w:rPr>
          <w:rFonts w:asciiTheme="minorHAnsi" w:hAnsiTheme="minorHAnsi"/>
          <w:color w:val="363636"/>
        </w:rPr>
        <w:t xml:space="preserve"> profit on their investment. </w:t>
      </w:r>
    </w:p>
    <w:p w:rsidR="0036434A" w:rsidRPr="0020032A" w:rsidRDefault="0036434A" w:rsidP="00B13BA4">
      <w:pPr>
        <w:pStyle w:val="NormalWeb"/>
        <w:spacing w:before="0" w:beforeAutospacing="0" w:after="240" w:afterAutospacing="0" w:line="312" w:lineRule="atLeast"/>
        <w:rPr>
          <w:rFonts w:asciiTheme="minorHAnsi" w:hAnsiTheme="minorHAnsi"/>
          <w:color w:val="363636"/>
        </w:rPr>
      </w:pPr>
      <w:r w:rsidRPr="0020032A">
        <w:rPr>
          <w:rFonts w:asciiTheme="minorHAnsi" w:hAnsiTheme="minorHAnsi"/>
          <w:i/>
          <w:color w:val="363636"/>
        </w:rPr>
        <w:t>Venture capital</w:t>
      </w:r>
      <w:r w:rsidRPr="0020032A">
        <w:rPr>
          <w:rFonts w:asciiTheme="minorHAnsi" w:hAnsiTheme="minorHAnsi"/>
          <w:color w:val="363636"/>
        </w:rPr>
        <w:t xml:space="preserve"> </w:t>
      </w:r>
      <w:r w:rsidR="00666DA6" w:rsidRPr="0020032A">
        <w:rPr>
          <w:rFonts w:asciiTheme="minorHAnsi" w:hAnsiTheme="minorHAnsi"/>
          <w:color w:val="363636"/>
        </w:rPr>
        <w:t>involves</w:t>
      </w:r>
      <w:r w:rsidRPr="0020032A">
        <w:rPr>
          <w:rFonts w:asciiTheme="minorHAnsi" w:hAnsiTheme="minorHAnsi"/>
          <w:color w:val="363636"/>
        </w:rPr>
        <w:t xml:space="preserve"> funds </w:t>
      </w:r>
      <w:r w:rsidR="00666DA6" w:rsidRPr="0020032A">
        <w:rPr>
          <w:rFonts w:asciiTheme="minorHAnsi" w:hAnsiTheme="minorHAnsi"/>
          <w:color w:val="363636"/>
        </w:rPr>
        <w:t>received</w:t>
      </w:r>
      <w:r w:rsidRPr="0020032A">
        <w:rPr>
          <w:rFonts w:asciiTheme="minorHAnsi" w:hAnsiTheme="minorHAnsi"/>
          <w:color w:val="363636"/>
        </w:rPr>
        <w:t xml:space="preserve"> from investors </w:t>
      </w:r>
      <w:r w:rsidR="00666DA6" w:rsidRPr="0020032A">
        <w:rPr>
          <w:rFonts w:asciiTheme="minorHAnsi" w:hAnsiTheme="minorHAnsi"/>
          <w:color w:val="363636"/>
        </w:rPr>
        <w:t>and investing them</w:t>
      </w:r>
      <w:r w:rsidRPr="0020032A">
        <w:rPr>
          <w:rFonts w:asciiTheme="minorHAnsi" w:hAnsiTheme="minorHAnsi"/>
          <w:color w:val="363636"/>
        </w:rPr>
        <w:t xml:space="preserve"> in</w:t>
      </w:r>
      <w:r w:rsidR="00666DA6" w:rsidRPr="0020032A">
        <w:rPr>
          <w:rFonts w:asciiTheme="minorHAnsi" w:hAnsiTheme="minorHAnsi"/>
          <w:color w:val="363636"/>
        </w:rPr>
        <w:t xml:space="preserve"> brand</w:t>
      </w:r>
      <w:r w:rsidRPr="0020032A">
        <w:rPr>
          <w:rFonts w:asciiTheme="minorHAnsi" w:hAnsiTheme="minorHAnsi"/>
          <w:color w:val="363636"/>
        </w:rPr>
        <w:t xml:space="preserve"> </w:t>
      </w:r>
      <w:r w:rsidR="00666DA6" w:rsidRPr="0020032A">
        <w:rPr>
          <w:rFonts w:asciiTheme="minorHAnsi" w:hAnsiTheme="minorHAnsi"/>
          <w:color w:val="363636"/>
        </w:rPr>
        <w:t>new</w:t>
      </w:r>
      <w:r w:rsidRPr="0020032A">
        <w:rPr>
          <w:rFonts w:asciiTheme="minorHAnsi" w:hAnsiTheme="minorHAnsi"/>
          <w:color w:val="363636"/>
        </w:rPr>
        <w:t xml:space="preserve">, </w:t>
      </w:r>
      <w:r w:rsidR="00666DA6" w:rsidRPr="0020032A">
        <w:rPr>
          <w:rFonts w:asciiTheme="minorHAnsi" w:hAnsiTheme="minorHAnsi"/>
          <w:color w:val="363636"/>
        </w:rPr>
        <w:t>inventive</w:t>
      </w:r>
      <w:r w:rsidRPr="0020032A">
        <w:rPr>
          <w:rFonts w:asciiTheme="minorHAnsi" w:hAnsiTheme="minorHAnsi"/>
          <w:color w:val="363636"/>
        </w:rPr>
        <w:t xml:space="preserve"> companies in </w:t>
      </w:r>
      <w:r w:rsidR="00666DA6" w:rsidRPr="0020032A">
        <w:rPr>
          <w:rFonts w:asciiTheme="minorHAnsi" w:hAnsiTheme="minorHAnsi"/>
          <w:color w:val="363636"/>
        </w:rPr>
        <w:t xml:space="preserve">return </w:t>
      </w:r>
      <w:r w:rsidRPr="0020032A">
        <w:rPr>
          <w:rFonts w:asciiTheme="minorHAnsi" w:hAnsiTheme="minorHAnsi"/>
          <w:color w:val="363636"/>
        </w:rPr>
        <w:t xml:space="preserve">for an equity stake </w:t>
      </w:r>
      <w:r w:rsidR="00666DA6" w:rsidRPr="0020032A">
        <w:rPr>
          <w:rFonts w:asciiTheme="minorHAnsi" w:hAnsiTheme="minorHAnsi"/>
          <w:color w:val="363636"/>
        </w:rPr>
        <w:t>which eventually can be turned</w:t>
      </w:r>
      <w:r w:rsidRPr="0020032A">
        <w:rPr>
          <w:rFonts w:asciiTheme="minorHAnsi" w:hAnsiTheme="minorHAnsi"/>
          <w:color w:val="363636"/>
        </w:rPr>
        <w:t xml:space="preserve"> into a profit when the company </w:t>
      </w:r>
      <w:r w:rsidR="00666DA6" w:rsidRPr="0020032A">
        <w:rPr>
          <w:rFonts w:asciiTheme="minorHAnsi" w:hAnsiTheme="minorHAnsi"/>
          <w:color w:val="363636"/>
        </w:rPr>
        <w:t>becomes</w:t>
      </w:r>
      <w:r w:rsidRPr="0020032A">
        <w:rPr>
          <w:rFonts w:asciiTheme="minorHAnsi" w:hAnsiTheme="minorHAnsi"/>
          <w:color w:val="363636"/>
        </w:rPr>
        <w:t xml:space="preserve"> public or is </w:t>
      </w:r>
      <w:r w:rsidR="00666DA6" w:rsidRPr="0020032A">
        <w:rPr>
          <w:rFonts w:asciiTheme="minorHAnsi" w:hAnsiTheme="minorHAnsi"/>
          <w:color w:val="363636"/>
        </w:rPr>
        <w:t>associated</w:t>
      </w:r>
      <w:r w:rsidRPr="0020032A">
        <w:rPr>
          <w:rFonts w:asciiTheme="minorHAnsi" w:hAnsiTheme="minorHAnsi"/>
          <w:color w:val="363636"/>
        </w:rPr>
        <w:t xml:space="preserve"> or </w:t>
      </w:r>
      <w:r w:rsidR="00666DA6" w:rsidRPr="0020032A">
        <w:rPr>
          <w:rFonts w:asciiTheme="minorHAnsi" w:hAnsiTheme="minorHAnsi"/>
          <w:color w:val="363636"/>
        </w:rPr>
        <w:t>taken over by some</w:t>
      </w:r>
      <w:r w:rsidRPr="0020032A">
        <w:rPr>
          <w:rFonts w:asciiTheme="minorHAnsi" w:hAnsiTheme="minorHAnsi"/>
          <w:color w:val="363636"/>
        </w:rPr>
        <w:t xml:space="preserve"> other company.</w:t>
      </w:r>
    </w:p>
    <w:p w:rsidR="00350ADE" w:rsidRPr="0020032A" w:rsidRDefault="00350ADE" w:rsidP="00C0745B">
      <w:pPr>
        <w:pStyle w:val="Heading1"/>
        <w:pBdr>
          <w:bottom w:val="single" w:sz="6" w:space="0" w:color="AAAAAA"/>
        </w:pBdr>
        <w:spacing w:before="0" w:after="60"/>
        <w:rPr>
          <w:rFonts w:asciiTheme="minorHAnsi" w:eastAsia="Times New Roman" w:hAnsiTheme="minorHAnsi" w:cs="Times New Roman"/>
          <w:b w:val="0"/>
          <w:bCs w:val="0"/>
          <w:color w:val="363636"/>
          <w:sz w:val="24"/>
          <w:szCs w:val="24"/>
        </w:rPr>
      </w:pPr>
      <w:r w:rsidRPr="0020032A">
        <w:rPr>
          <w:rFonts w:asciiTheme="minorHAnsi" w:eastAsia="Times New Roman" w:hAnsiTheme="minorHAnsi" w:cs="Times New Roman"/>
          <w:b w:val="0"/>
          <w:bCs w:val="0"/>
          <w:i/>
          <w:color w:val="363636"/>
          <w:sz w:val="24"/>
          <w:szCs w:val="24"/>
        </w:rPr>
        <w:t>Sovereign wealth fund involves m</w:t>
      </w:r>
      <w:r w:rsidRPr="0020032A">
        <w:rPr>
          <w:rFonts w:asciiTheme="minorHAnsi" w:eastAsia="Times New Roman" w:hAnsiTheme="minorHAnsi" w:cs="Times New Roman"/>
          <w:b w:val="0"/>
          <w:bCs w:val="0"/>
          <w:color w:val="363636"/>
          <w:sz w:val="24"/>
          <w:szCs w:val="24"/>
        </w:rPr>
        <w:t xml:space="preserve">oney taken from the reserves of any country which are kept aside solely from investment point of view which will ultimately help the economy of the country and the people at large. The funds are taken from reserves of the central bank of the country. Various countries use </w:t>
      </w:r>
      <w:r w:rsidR="00C0745B" w:rsidRPr="0020032A">
        <w:rPr>
          <w:rFonts w:asciiTheme="minorHAnsi" w:eastAsia="Times New Roman" w:hAnsiTheme="minorHAnsi" w:cs="Times New Roman"/>
          <w:b w:val="0"/>
          <w:bCs w:val="0"/>
          <w:color w:val="363636"/>
          <w:sz w:val="24"/>
          <w:szCs w:val="24"/>
        </w:rPr>
        <w:t>the funds</w:t>
      </w:r>
      <w:r w:rsidRPr="0020032A">
        <w:rPr>
          <w:rFonts w:asciiTheme="minorHAnsi" w:eastAsia="Times New Roman" w:hAnsiTheme="minorHAnsi" w:cs="Times New Roman"/>
          <w:b w:val="0"/>
          <w:bCs w:val="0"/>
          <w:color w:val="363636"/>
          <w:sz w:val="24"/>
          <w:szCs w:val="24"/>
        </w:rPr>
        <w:t xml:space="preserve"> for investment in various areas depending on the financial and economic position of the country.</w:t>
      </w:r>
    </w:p>
    <w:p w:rsidR="00C0745B" w:rsidRPr="0020032A" w:rsidRDefault="00C0745B" w:rsidP="00C0745B">
      <w:pPr>
        <w:rPr>
          <w:sz w:val="24"/>
          <w:szCs w:val="24"/>
        </w:rPr>
      </w:pPr>
    </w:p>
    <w:p w:rsidR="00C0745B" w:rsidRPr="0020032A" w:rsidRDefault="00C0745B">
      <w:pPr>
        <w:rPr>
          <w:rFonts w:cs="Arial"/>
          <w:b/>
          <w:sz w:val="24"/>
          <w:szCs w:val="24"/>
        </w:rPr>
      </w:pPr>
    </w:p>
    <w:p w:rsidR="00E00473" w:rsidRPr="0020032A" w:rsidRDefault="00E00473" w:rsidP="00E00473">
      <w:pPr>
        <w:jc w:val="center"/>
        <w:rPr>
          <w:rFonts w:ascii="Calibri" w:eastAsia="Times New Roman" w:hAnsi="Calibri" w:cs="Times New Roman"/>
          <w:b/>
          <w:color w:val="000000"/>
          <w:sz w:val="24"/>
          <w:szCs w:val="24"/>
          <w:u w:val="single"/>
        </w:rPr>
      </w:pPr>
      <w:r w:rsidRPr="0020032A">
        <w:rPr>
          <w:rFonts w:ascii="Calibri" w:eastAsia="Times New Roman" w:hAnsi="Calibri" w:cs="Times New Roman"/>
          <w:b/>
          <w:color w:val="000000"/>
          <w:sz w:val="28"/>
          <w:szCs w:val="24"/>
          <w:u w:val="single"/>
        </w:rPr>
        <w:lastRenderedPageBreak/>
        <w:t>INDUSTRY Developments Section</w:t>
      </w:r>
      <w:r w:rsidRPr="0020032A">
        <w:rPr>
          <w:rFonts w:ascii="Calibri" w:eastAsia="Times New Roman" w:hAnsi="Calibri" w:cs="Times New Roman"/>
          <w:b/>
          <w:color w:val="000000"/>
          <w:sz w:val="24"/>
          <w:szCs w:val="24"/>
          <w:u w:val="single"/>
        </w:rPr>
        <w:t xml:space="preserve"> </w:t>
      </w:r>
    </w:p>
    <w:p w:rsidR="00865F81" w:rsidRPr="0020032A" w:rsidRDefault="00865F81" w:rsidP="00865F81">
      <w:pPr>
        <w:pStyle w:val="NormalWeb"/>
        <w:shd w:val="clear" w:color="auto" w:fill="FFFFFF"/>
        <w:spacing w:before="120" w:beforeAutospacing="0" w:after="120" w:afterAutospacing="0" w:line="336" w:lineRule="atLeast"/>
        <w:rPr>
          <w:rFonts w:asciiTheme="minorHAnsi" w:eastAsiaTheme="minorHAnsi" w:hAnsiTheme="minorHAnsi" w:cs="Arial"/>
          <w:color w:val="363636"/>
        </w:rPr>
      </w:pPr>
      <w:r w:rsidRPr="0020032A">
        <w:rPr>
          <w:rFonts w:asciiTheme="minorHAnsi" w:eastAsiaTheme="minorHAnsi" w:hAnsiTheme="minorHAnsi" w:cs="Arial"/>
          <w:color w:val="363636"/>
        </w:rPr>
        <w:t xml:space="preserve">Andrew </w:t>
      </w:r>
      <w:proofErr w:type="spellStart"/>
      <w:r w:rsidRPr="0020032A">
        <w:rPr>
          <w:rFonts w:asciiTheme="minorHAnsi" w:eastAsiaTheme="minorHAnsi" w:hAnsiTheme="minorHAnsi" w:cs="Arial"/>
          <w:color w:val="363636"/>
        </w:rPr>
        <w:t>Rozanov</w:t>
      </w:r>
      <w:proofErr w:type="spellEnd"/>
      <w:r w:rsidRPr="0020032A">
        <w:rPr>
          <w:rFonts w:asciiTheme="minorHAnsi" w:eastAsiaTheme="minorHAnsi" w:hAnsiTheme="minorHAnsi" w:cs="Arial"/>
          <w:color w:val="363636"/>
        </w:rPr>
        <w:t xml:space="preserve"> used the term Sovereign wealth fund (SWF) in 2005 in an article "Who holds the wealth of nations?" In the earlier edition of the journal, it was briefed that how traditional reserve management is changing into sovereign wealth management hence it became popular. </w:t>
      </w:r>
    </w:p>
    <w:p w:rsidR="00865F81" w:rsidRPr="0020032A" w:rsidRDefault="00865F81" w:rsidP="00865F81">
      <w:pPr>
        <w:pStyle w:val="NormalWeb"/>
        <w:shd w:val="clear" w:color="auto" w:fill="FFFFFF"/>
        <w:spacing w:before="120" w:beforeAutospacing="0" w:after="120" w:afterAutospacing="0" w:line="336" w:lineRule="atLeast"/>
        <w:rPr>
          <w:rFonts w:asciiTheme="minorHAnsi" w:eastAsiaTheme="minorHAnsi" w:hAnsiTheme="minorHAnsi" w:cs="Arial"/>
          <w:color w:val="363636"/>
        </w:rPr>
      </w:pPr>
      <w:r w:rsidRPr="0020032A">
        <w:rPr>
          <w:rFonts w:asciiTheme="minorHAnsi" w:eastAsiaTheme="minorHAnsi" w:hAnsiTheme="minorHAnsi" w:cs="Arial"/>
          <w:color w:val="363636"/>
        </w:rPr>
        <w:t xml:space="preserve">SWFs make their investments in a various classes of assets which include stocks, bonds, real estate, private equity and hedge funds. Majority of sovereign funds are making investments directly in institutional real estate. According to the Sovereign Wealth Fund Institute's transaction database, approximately US$9.26 billion amount was recorded from SWFs in institutional real estate during the second half of 2012 while in the first half of 2014, direct deal of sovereign wealth funds were calculated  to be $50.02 billion. </w:t>
      </w:r>
    </w:p>
    <w:p w:rsidR="006B22F4" w:rsidRPr="0020032A" w:rsidRDefault="006B22F4" w:rsidP="006B22F4">
      <w:pPr>
        <w:pStyle w:val="NormalWeb"/>
        <w:shd w:val="clear" w:color="auto" w:fill="FFFFFF"/>
        <w:spacing w:before="120" w:beforeAutospacing="0" w:after="120" w:afterAutospacing="0" w:line="336" w:lineRule="atLeast"/>
        <w:rPr>
          <w:rFonts w:asciiTheme="minorHAnsi" w:eastAsiaTheme="minorHAnsi" w:hAnsiTheme="minorHAnsi" w:cs="Arial"/>
          <w:color w:val="363636"/>
        </w:rPr>
      </w:pPr>
      <w:r w:rsidRPr="0020032A">
        <w:rPr>
          <w:rFonts w:asciiTheme="minorHAnsi" w:eastAsiaTheme="minorHAnsi" w:hAnsiTheme="minorHAnsi" w:cs="Arial"/>
          <w:color w:val="363636"/>
        </w:rPr>
        <w:t>Sovereign wealth funds are in operation for more than 100 years now however since the year 2000, there is a dramatic shift in the number of sovereign wealth funds throughout the world. Non-Federal U.S state funds were the SWFs which were incorporated in the 19</w:t>
      </w:r>
      <w:r w:rsidRPr="0020032A">
        <w:rPr>
          <w:rFonts w:asciiTheme="minorHAnsi" w:eastAsiaTheme="minorHAnsi" w:hAnsiTheme="minorHAnsi" w:cs="Arial"/>
          <w:color w:val="363636"/>
          <w:vertAlign w:val="superscript"/>
        </w:rPr>
        <w:t>th</w:t>
      </w:r>
      <w:r w:rsidRPr="0020032A">
        <w:rPr>
          <w:rFonts w:asciiTheme="minorHAnsi" w:eastAsiaTheme="minorHAnsi" w:hAnsiTheme="minorHAnsi" w:cs="Arial"/>
          <w:color w:val="363636"/>
        </w:rPr>
        <w:t xml:space="preserve"> century and were particularly built for public services. The state of</w:t>
      </w:r>
      <w:r w:rsidRPr="0020032A">
        <w:rPr>
          <w:rFonts w:asciiTheme="minorHAnsi" w:eastAsiaTheme="minorHAnsi" w:hAnsiTheme="minorHAnsi"/>
          <w:color w:val="363636"/>
        </w:rPr>
        <w:t> </w:t>
      </w:r>
      <w:hyperlink r:id="rId6" w:tooltip="Texas" w:history="1">
        <w:r w:rsidRPr="0020032A">
          <w:rPr>
            <w:rFonts w:asciiTheme="minorHAnsi" w:eastAsiaTheme="minorHAnsi" w:hAnsiTheme="minorHAnsi"/>
            <w:color w:val="363636"/>
          </w:rPr>
          <w:t>Texas</w:t>
        </w:r>
      </w:hyperlink>
      <w:r w:rsidRPr="0020032A">
        <w:rPr>
          <w:rFonts w:asciiTheme="minorHAnsi" w:eastAsiaTheme="minorHAnsi" w:hAnsiTheme="minorHAnsi" w:cs="Arial"/>
          <w:color w:val="363636"/>
        </w:rPr>
        <w:t xml:space="preserve"> in United States therefore was the pioneer in establishing this scheme to generate fund for public education. </w:t>
      </w:r>
    </w:p>
    <w:p w:rsidR="006B22F4" w:rsidRPr="0020032A" w:rsidRDefault="006B22F4" w:rsidP="006B22F4">
      <w:pPr>
        <w:pStyle w:val="NormalWeb"/>
        <w:shd w:val="clear" w:color="auto" w:fill="FFFFFF"/>
        <w:spacing w:before="120" w:beforeAutospacing="0" w:after="120" w:afterAutospacing="0" w:line="336" w:lineRule="atLeast"/>
        <w:rPr>
          <w:rFonts w:asciiTheme="minorHAnsi" w:eastAsiaTheme="minorHAnsi" w:hAnsiTheme="minorHAnsi" w:cs="Arial"/>
          <w:color w:val="363636"/>
        </w:rPr>
      </w:pPr>
      <w:r w:rsidRPr="0020032A">
        <w:rPr>
          <w:rFonts w:asciiTheme="minorHAnsi" w:eastAsiaTheme="minorHAnsi" w:hAnsiTheme="minorHAnsi" w:cs="Arial"/>
          <w:color w:val="363636"/>
        </w:rPr>
        <w:t>In 1854, The</w:t>
      </w:r>
      <w:r w:rsidRPr="0020032A">
        <w:rPr>
          <w:rFonts w:asciiTheme="minorHAnsi" w:eastAsiaTheme="minorHAnsi" w:hAnsiTheme="minorHAnsi"/>
          <w:color w:val="363636"/>
        </w:rPr>
        <w:t> </w:t>
      </w:r>
      <w:hyperlink r:id="rId7" w:tooltip="Permanent School Fund" w:history="1">
        <w:r w:rsidRPr="0020032A">
          <w:rPr>
            <w:rFonts w:asciiTheme="minorHAnsi" w:eastAsiaTheme="minorHAnsi" w:hAnsiTheme="minorHAnsi"/>
            <w:color w:val="363636"/>
          </w:rPr>
          <w:t>Permanent School Fund</w:t>
        </w:r>
      </w:hyperlink>
      <w:r w:rsidRPr="0020032A">
        <w:rPr>
          <w:rFonts w:asciiTheme="minorHAnsi" w:eastAsiaTheme="minorHAnsi" w:hAnsiTheme="minorHAnsi"/>
          <w:color w:val="363636"/>
        </w:rPr>
        <w:t> </w:t>
      </w:r>
      <w:r w:rsidRPr="0020032A">
        <w:rPr>
          <w:rFonts w:asciiTheme="minorHAnsi" w:eastAsiaTheme="minorHAnsi" w:hAnsiTheme="minorHAnsi" w:cs="Arial"/>
          <w:color w:val="363636"/>
        </w:rPr>
        <w:t>(PSF) was built to help primary and secondary schools and later on in 1876 the</w:t>
      </w:r>
      <w:r w:rsidRPr="0020032A">
        <w:rPr>
          <w:rFonts w:asciiTheme="minorHAnsi" w:eastAsiaTheme="minorHAnsi" w:hAnsiTheme="minorHAnsi"/>
          <w:color w:val="363636"/>
        </w:rPr>
        <w:t> </w:t>
      </w:r>
      <w:hyperlink r:id="rId8" w:tooltip="Permanent University Fund" w:history="1">
        <w:r w:rsidRPr="0020032A">
          <w:rPr>
            <w:rFonts w:asciiTheme="minorHAnsi" w:eastAsiaTheme="minorHAnsi" w:hAnsiTheme="minorHAnsi"/>
            <w:color w:val="363636"/>
          </w:rPr>
          <w:t>Permanent University Fund</w:t>
        </w:r>
      </w:hyperlink>
      <w:r w:rsidRPr="0020032A">
        <w:rPr>
          <w:rFonts w:asciiTheme="minorHAnsi" w:eastAsiaTheme="minorHAnsi" w:hAnsiTheme="minorHAnsi"/>
          <w:color w:val="363636"/>
        </w:rPr>
        <w:t> </w:t>
      </w:r>
      <w:r w:rsidRPr="0020032A">
        <w:rPr>
          <w:rFonts w:asciiTheme="minorHAnsi" w:eastAsiaTheme="minorHAnsi" w:hAnsiTheme="minorHAnsi" w:cs="Arial"/>
          <w:color w:val="363636"/>
        </w:rPr>
        <w:t xml:space="preserve">(PUF) was established to assist universities. Public land was used whose ownership remained with the state using terms of the annexation treaty amongst the US and </w:t>
      </w:r>
      <w:hyperlink r:id="rId9" w:tooltip="Republic of Texas" w:history="1">
        <w:r w:rsidR="00865F81" w:rsidRPr="0020032A">
          <w:rPr>
            <w:rFonts w:asciiTheme="minorHAnsi" w:eastAsiaTheme="minorHAnsi" w:hAnsiTheme="minorHAnsi"/>
            <w:color w:val="363636"/>
          </w:rPr>
          <w:t xml:space="preserve">Republic of </w:t>
        </w:r>
        <w:proofErr w:type="spellStart"/>
        <w:r w:rsidR="00865F81" w:rsidRPr="0020032A">
          <w:rPr>
            <w:rFonts w:asciiTheme="minorHAnsi" w:eastAsiaTheme="minorHAnsi" w:hAnsiTheme="minorHAnsi"/>
            <w:color w:val="363636"/>
          </w:rPr>
          <w:t>Texas</w:t>
        </w:r>
      </w:hyperlink>
      <w:r w:rsidR="00865F81" w:rsidRPr="0020032A">
        <w:rPr>
          <w:rFonts w:asciiTheme="minorHAnsi" w:eastAsiaTheme="minorHAnsi" w:hAnsiTheme="minorHAnsi" w:cs="Arial"/>
          <w:color w:val="363636"/>
        </w:rPr>
        <w:t>and</w:t>
      </w:r>
      <w:proofErr w:type="spellEnd"/>
      <w:r w:rsidR="00865F81" w:rsidRPr="0020032A">
        <w:rPr>
          <w:rFonts w:asciiTheme="minorHAnsi" w:eastAsiaTheme="minorHAnsi" w:hAnsiTheme="minorHAnsi" w:cs="Arial"/>
          <w:color w:val="363636"/>
        </w:rPr>
        <w:t xml:space="preserve"> in 1845.However the foremost SWF established for a country was Kuwait Investment Authority which was created as commodity in the year 1953 derived from the revenue they generated through oil after the independence from the UK. The fund has now expanded to approximately US$600 billion</w:t>
      </w:r>
    </w:p>
    <w:p w:rsidR="006B22F4" w:rsidRPr="0020032A" w:rsidRDefault="006B22F4" w:rsidP="006B22F4">
      <w:pPr>
        <w:pStyle w:val="NormalWeb"/>
        <w:shd w:val="clear" w:color="auto" w:fill="FFFFFF"/>
        <w:spacing w:before="120" w:beforeAutospacing="0" w:after="120" w:afterAutospacing="0" w:line="336" w:lineRule="atLeast"/>
        <w:rPr>
          <w:rFonts w:asciiTheme="minorHAnsi" w:eastAsiaTheme="minorHAnsi" w:hAnsiTheme="minorHAnsi" w:cs="Arial"/>
          <w:color w:val="363636"/>
        </w:rPr>
      </w:pPr>
      <w:r w:rsidRPr="0020032A">
        <w:rPr>
          <w:rFonts w:asciiTheme="minorHAnsi" w:eastAsiaTheme="minorHAnsi" w:hAnsiTheme="minorHAnsi"/>
          <w:color w:val="363636"/>
        </w:rPr>
        <w:t> </w:t>
      </w:r>
      <w:hyperlink r:id="rId10" w:tooltip="Revenue Equalization Reserve Fund" w:history="1">
        <w:r w:rsidRPr="0020032A">
          <w:rPr>
            <w:rFonts w:asciiTheme="minorHAnsi" w:eastAsiaTheme="minorHAnsi" w:hAnsiTheme="minorHAnsi"/>
            <w:color w:val="363636"/>
          </w:rPr>
          <w:t>Revenue Equalization Reserve Fund</w:t>
        </w:r>
      </w:hyperlink>
      <w:r w:rsidRPr="0020032A">
        <w:rPr>
          <w:rFonts w:asciiTheme="minorHAnsi" w:eastAsiaTheme="minorHAnsi" w:hAnsiTheme="minorHAnsi"/>
          <w:color w:val="363636"/>
        </w:rPr>
        <w:t> </w:t>
      </w:r>
      <w:r w:rsidRPr="0020032A">
        <w:rPr>
          <w:rFonts w:asciiTheme="minorHAnsi" w:eastAsiaTheme="minorHAnsi" w:hAnsiTheme="minorHAnsi" w:cs="Arial"/>
          <w:color w:val="363636"/>
        </w:rPr>
        <w:t>of</w:t>
      </w:r>
      <w:r w:rsidRPr="0020032A">
        <w:rPr>
          <w:rFonts w:asciiTheme="minorHAnsi" w:eastAsiaTheme="minorHAnsi" w:hAnsiTheme="minorHAnsi"/>
          <w:color w:val="363636"/>
        </w:rPr>
        <w:t> </w:t>
      </w:r>
      <w:hyperlink r:id="rId11" w:tooltip="Kiribati" w:history="1">
        <w:r w:rsidRPr="0020032A">
          <w:rPr>
            <w:rFonts w:asciiTheme="minorHAnsi" w:eastAsiaTheme="minorHAnsi" w:hAnsiTheme="minorHAnsi"/>
            <w:color w:val="363636"/>
          </w:rPr>
          <w:t>Kiribati</w:t>
        </w:r>
      </w:hyperlink>
      <w:r w:rsidRPr="0020032A">
        <w:rPr>
          <w:rFonts w:asciiTheme="minorHAnsi" w:eastAsiaTheme="minorHAnsi" w:hAnsiTheme="minorHAnsi" w:cs="Arial"/>
          <w:color w:val="363636"/>
        </w:rPr>
        <w:t>. Created</w:t>
      </w:r>
      <w:r w:rsidR="00865F81" w:rsidRPr="0020032A">
        <w:rPr>
          <w:rFonts w:asciiTheme="minorHAnsi" w:eastAsiaTheme="minorHAnsi" w:hAnsiTheme="minorHAnsi" w:cs="Arial"/>
          <w:color w:val="363636"/>
        </w:rPr>
        <w:t xml:space="preserve"> were also amongst the pioneers &amp; were established in </w:t>
      </w:r>
      <w:r w:rsidRPr="0020032A">
        <w:rPr>
          <w:rFonts w:asciiTheme="minorHAnsi" w:eastAsiaTheme="minorHAnsi" w:hAnsiTheme="minorHAnsi" w:cs="Arial"/>
          <w:color w:val="363636"/>
        </w:rPr>
        <w:t>1956</w:t>
      </w:r>
      <w:r w:rsidR="00865F81" w:rsidRPr="0020032A">
        <w:rPr>
          <w:rFonts w:asciiTheme="minorHAnsi" w:eastAsiaTheme="minorHAnsi" w:hAnsiTheme="minorHAnsi" w:cs="Arial"/>
          <w:color w:val="363636"/>
        </w:rPr>
        <w:t>. The reason behind its creation was the placement of levy on the export of</w:t>
      </w:r>
      <w:r w:rsidR="00865F81" w:rsidRPr="0020032A">
        <w:rPr>
          <w:rFonts w:asciiTheme="minorHAnsi" w:eastAsiaTheme="minorHAnsi" w:hAnsiTheme="minorHAnsi"/>
          <w:color w:val="363636"/>
        </w:rPr>
        <w:t> </w:t>
      </w:r>
      <w:hyperlink r:id="rId12" w:tooltip="Phosphates" w:history="1">
        <w:r w:rsidR="00865F81" w:rsidRPr="0020032A">
          <w:rPr>
            <w:rFonts w:asciiTheme="minorHAnsi" w:eastAsiaTheme="minorHAnsi" w:hAnsiTheme="minorHAnsi"/>
            <w:color w:val="363636"/>
          </w:rPr>
          <w:t>phosphates</w:t>
        </w:r>
      </w:hyperlink>
      <w:r w:rsidR="00865F81" w:rsidRPr="0020032A">
        <w:rPr>
          <w:rFonts w:asciiTheme="minorHAnsi" w:eastAsiaTheme="minorHAnsi" w:hAnsiTheme="minorHAnsi"/>
          <w:color w:val="363636"/>
        </w:rPr>
        <w:t> </w:t>
      </w:r>
      <w:r w:rsidR="00865F81" w:rsidRPr="0020032A">
        <w:rPr>
          <w:rFonts w:asciiTheme="minorHAnsi" w:eastAsiaTheme="minorHAnsi" w:hAnsiTheme="minorHAnsi" w:cs="Arial"/>
          <w:color w:val="363636"/>
        </w:rPr>
        <w:t>used in</w:t>
      </w:r>
      <w:r w:rsidR="00865F81" w:rsidRPr="0020032A">
        <w:rPr>
          <w:rFonts w:asciiTheme="minorHAnsi" w:eastAsiaTheme="minorHAnsi" w:hAnsiTheme="minorHAnsi"/>
          <w:color w:val="363636"/>
        </w:rPr>
        <w:t> </w:t>
      </w:r>
      <w:hyperlink r:id="rId13" w:tooltip="Fertilizer" w:history="1">
        <w:r w:rsidR="00865F81" w:rsidRPr="0020032A">
          <w:rPr>
            <w:rFonts w:asciiTheme="minorHAnsi" w:eastAsiaTheme="minorHAnsi" w:hAnsiTheme="minorHAnsi"/>
            <w:color w:val="363636"/>
          </w:rPr>
          <w:t>fertilizer</w:t>
        </w:r>
      </w:hyperlink>
      <w:r w:rsidR="00865F81" w:rsidRPr="0020032A">
        <w:rPr>
          <w:rFonts w:asciiTheme="minorHAnsi" w:eastAsiaTheme="minorHAnsi" w:hAnsiTheme="minorHAnsi" w:cs="Arial"/>
          <w:color w:val="363636"/>
        </w:rPr>
        <w:t xml:space="preserve"> by</w:t>
      </w:r>
      <w:r w:rsidRPr="0020032A">
        <w:rPr>
          <w:rFonts w:asciiTheme="minorHAnsi" w:eastAsiaTheme="minorHAnsi" w:hAnsiTheme="minorHAnsi" w:cs="Arial"/>
          <w:color w:val="363636"/>
        </w:rPr>
        <w:t xml:space="preserve"> the British administration of the</w:t>
      </w:r>
      <w:r w:rsidRPr="0020032A">
        <w:rPr>
          <w:rFonts w:asciiTheme="minorHAnsi" w:eastAsiaTheme="minorHAnsi" w:hAnsiTheme="minorHAnsi"/>
          <w:color w:val="363636"/>
        </w:rPr>
        <w:t> </w:t>
      </w:r>
      <w:hyperlink r:id="rId14" w:tooltip="Gilbert Islands" w:history="1">
        <w:r w:rsidRPr="0020032A">
          <w:rPr>
            <w:rFonts w:asciiTheme="minorHAnsi" w:eastAsiaTheme="minorHAnsi" w:hAnsiTheme="minorHAnsi"/>
            <w:color w:val="363636"/>
          </w:rPr>
          <w:t>Gilbert Islands</w:t>
        </w:r>
      </w:hyperlink>
      <w:r w:rsidRPr="0020032A">
        <w:rPr>
          <w:rFonts w:asciiTheme="minorHAnsi" w:eastAsiaTheme="minorHAnsi" w:hAnsiTheme="minorHAnsi"/>
          <w:color w:val="363636"/>
        </w:rPr>
        <w:t> </w:t>
      </w:r>
      <w:r w:rsidRPr="0020032A">
        <w:rPr>
          <w:rFonts w:asciiTheme="minorHAnsi" w:eastAsiaTheme="minorHAnsi" w:hAnsiTheme="minorHAnsi" w:cs="Arial"/>
          <w:color w:val="363636"/>
        </w:rPr>
        <w:t>in</w:t>
      </w:r>
      <w:r w:rsidRPr="0020032A">
        <w:rPr>
          <w:rFonts w:asciiTheme="minorHAnsi" w:eastAsiaTheme="minorHAnsi" w:hAnsiTheme="minorHAnsi"/>
          <w:color w:val="363636"/>
        </w:rPr>
        <w:t> </w:t>
      </w:r>
      <w:hyperlink r:id="rId15" w:tooltip="Micronesia" w:history="1">
        <w:r w:rsidRPr="0020032A">
          <w:rPr>
            <w:rFonts w:asciiTheme="minorHAnsi" w:eastAsiaTheme="minorHAnsi" w:hAnsiTheme="minorHAnsi"/>
            <w:color w:val="363636"/>
          </w:rPr>
          <w:t>Micronesia</w:t>
        </w:r>
      </w:hyperlink>
      <w:r w:rsidR="00865F81" w:rsidRPr="0020032A">
        <w:rPr>
          <w:rFonts w:asciiTheme="minorHAnsi" w:eastAsiaTheme="minorHAnsi" w:hAnsiTheme="minorHAnsi" w:cs="Arial"/>
          <w:color w:val="363636"/>
        </w:rPr>
        <w:t>.</w:t>
      </w:r>
      <w:r w:rsidRPr="0020032A">
        <w:rPr>
          <w:rFonts w:asciiTheme="minorHAnsi" w:eastAsiaTheme="minorHAnsi" w:hAnsiTheme="minorHAnsi"/>
          <w:color w:val="363636"/>
        </w:rPr>
        <w:t> </w:t>
      </w:r>
      <w:r w:rsidRPr="0020032A">
        <w:rPr>
          <w:rFonts w:asciiTheme="minorHAnsi" w:eastAsiaTheme="minorHAnsi" w:hAnsiTheme="minorHAnsi" w:cs="Arial"/>
          <w:color w:val="363636"/>
        </w:rPr>
        <w:t xml:space="preserve"> </w:t>
      </w:r>
      <w:r w:rsidR="00865F81" w:rsidRPr="0020032A">
        <w:rPr>
          <w:rFonts w:asciiTheme="minorHAnsi" w:eastAsiaTheme="minorHAnsi" w:hAnsiTheme="minorHAnsi" w:cs="Arial"/>
          <w:color w:val="363636"/>
        </w:rPr>
        <w:t>T</w:t>
      </w:r>
      <w:r w:rsidRPr="0020032A">
        <w:rPr>
          <w:rFonts w:asciiTheme="minorHAnsi" w:eastAsiaTheme="minorHAnsi" w:hAnsiTheme="minorHAnsi" w:cs="Arial"/>
          <w:color w:val="363636"/>
        </w:rPr>
        <w:t xml:space="preserve">he fund has </w:t>
      </w:r>
      <w:r w:rsidR="00865F81" w:rsidRPr="0020032A">
        <w:rPr>
          <w:rFonts w:asciiTheme="minorHAnsi" w:eastAsiaTheme="minorHAnsi" w:hAnsiTheme="minorHAnsi" w:cs="Arial"/>
          <w:color w:val="363636"/>
        </w:rPr>
        <w:t>been estimated to</w:t>
      </w:r>
      <w:r w:rsidRPr="0020032A">
        <w:rPr>
          <w:rFonts w:asciiTheme="minorHAnsi" w:eastAsiaTheme="minorHAnsi" w:hAnsiTheme="minorHAnsi" w:cs="Arial"/>
          <w:color w:val="363636"/>
        </w:rPr>
        <w:t xml:space="preserve"> grow to $520 million.</w:t>
      </w:r>
      <w:r w:rsidR="00865F81" w:rsidRPr="0020032A">
        <w:rPr>
          <w:rFonts w:asciiTheme="minorHAnsi" w:eastAsiaTheme="minorHAnsi" w:hAnsiTheme="minorHAnsi" w:cs="Arial"/>
          <w:color w:val="363636"/>
        </w:rPr>
        <w:t xml:space="preserve"> </w:t>
      </w:r>
    </w:p>
    <w:p w:rsidR="00865F81" w:rsidRPr="0020032A" w:rsidRDefault="00E00473" w:rsidP="00865F81">
      <w:pPr>
        <w:rPr>
          <w:rFonts w:cs="Arial"/>
          <w:b/>
          <w:sz w:val="24"/>
          <w:szCs w:val="24"/>
        </w:rPr>
      </w:pPr>
      <w:r w:rsidRPr="0020032A">
        <w:rPr>
          <w:rFonts w:cs="Arial"/>
          <w:b/>
          <w:sz w:val="24"/>
          <w:szCs w:val="24"/>
        </w:rPr>
        <w:t xml:space="preserve">Industrial </w:t>
      </w:r>
      <w:r w:rsidR="00865F81" w:rsidRPr="0020032A">
        <w:rPr>
          <w:rFonts w:cs="Arial"/>
          <w:b/>
          <w:sz w:val="24"/>
          <w:szCs w:val="24"/>
        </w:rPr>
        <w:t>Growth in SWFs</w:t>
      </w:r>
    </w:p>
    <w:p w:rsidR="00A00D79" w:rsidRPr="0020032A" w:rsidRDefault="00A00D7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r w:rsidRPr="0020032A">
        <w:rPr>
          <w:rFonts w:asciiTheme="minorHAnsi" w:eastAsiaTheme="minorHAnsi" w:hAnsiTheme="minorHAnsi" w:cs="Arial"/>
          <w:b w:val="0"/>
          <w:bCs w:val="0"/>
          <w:color w:val="363636"/>
          <w:sz w:val="24"/>
          <w:szCs w:val="24"/>
        </w:rPr>
        <w:t>The first SWF was developed in 1953 by Kuwait with the name of the Kuwait Investment Authority (KIA). The major objective of KIA was to diversify the revenue streams as Kuwait was largely dependent on revenue from oil exploration and oil sales. However it was only in 1970s where the SWFs gain large popularity. The countries like Singapore, Abu Dhabi and Canada came in forefront and went to make their own managed SWFs respectively. Norway then followed it up and produced the most transparent and the world’s largest SWF in 1990. Later on in the new millennium another wave of SWF formation hit the globe. China form</w:t>
      </w:r>
      <w:r w:rsidR="007832BA" w:rsidRPr="0020032A">
        <w:rPr>
          <w:rFonts w:asciiTheme="minorHAnsi" w:eastAsiaTheme="minorHAnsi" w:hAnsiTheme="minorHAnsi" w:cs="Arial"/>
          <w:b w:val="0"/>
          <w:bCs w:val="0"/>
          <w:color w:val="363636"/>
          <w:sz w:val="24"/>
          <w:szCs w:val="24"/>
        </w:rPr>
        <w:t xml:space="preserve">ulated </w:t>
      </w:r>
      <w:r w:rsidRPr="0020032A">
        <w:rPr>
          <w:rFonts w:asciiTheme="minorHAnsi" w:eastAsiaTheme="minorHAnsi" w:hAnsiTheme="minorHAnsi" w:cs="Arial"/>
          <w:b w:val="0"/>
          <w:bCs w:val="0"/>
          <w:color w:val="363636"/>
          <w:sz w:val="24"/>
          <w:szCs w:val="24"/>
        </w:rPr>
        <w:t>the China Investment Corporation</w:t>
      </w:r>
      <w:r w:rsidR="007832BA" w:rsidRPr="0020032A">
        <w:rPr>
          <w:rFonts w:asciiTheme="minorHAnsi" w:eastAsiaTheme="minorHAnsi" w:hAnsiTheme="minorHAnsi" w:cs="Arial"/>
          <w:b w:val="0"/>
          <w:bCs w:val="0"/>
          <w:color w:val="363636"/>
          <w:sz w:val="24"/>
          <w:szCs w:val="24"/>
        </w:rPr>
        <w:t xml:space="preserve"> in 2007 </w:t>
      </w:r>
      <w:r w:rsidRPr="0020032A">
        <w:rPr>
          <w:rFonts w:asciiTheme="minorHAnsi" w:eastAsiaTheme="minorHAnsi" w:hAnsiTheme="minorHAnsi" w:cs="Arial"/>
          <w:b w:val="0"/>
          <w:bCs w:val="0"/>
          <w:color w:val="363636"/>
          <w:sz w:val="24"/>
          <w:szCs w:val="24"/>
        </w:rPr>
        <w:t xml:space="preserve">with a </w:t>
      </w:r>
      <w:r w:rsidR="007832BA" w:rsidRPr="0020032A">
        <w:rPr>
          <w:rFonts w:asciiTheme="minorHAnsi" w:eastAsiaTheme="minorHAnsi" w:hAnsiTheme="minorHAnsi" w:cs="Arial"/>
          <w:b w:val="0"/>
          <w:bCs w:val="0"/>
          <w:color w:val="363636"/>
          <w:sz w:val="24"/>
          <w:szCs w:val="24"/>
        </w:rPr>
        <w:t>start up</w:t>
      </w:r>
      <w:r w:rsidRPr="0020032A">
        <w:rPr>
          <w:rFonts w:asciiTheme="minorHAnsi" w:eastAsiaTheme="minorHAnsi" w:hAnsiTheme="minorHAnsi" w:cs="Arial"/>
          <w:b w:val="0"/>
          <w:bCs w:val="0"/>
          <w:color w:val="363636"/>
          <w:sz w:val="24"/>
          <w:szCs w:val="24"/>
        </w:rPr>
        <w:t xml:space="preserve"> endowment </w:t>
      </w:r>
      <w:r w:rsidR="007832BA" w:rsidRPr="0020032A">
        <w:rPr>
          <w:rFonts w:asciiTheme="minorHAnsi" w:eastAsiaTheme="minorHAnsi" w:hAnsiTheme="minorHAnsi" w:cs="Arial"/>
          <w:b w:val="0"/>
          <w:bCs w:val="0"/>
          <w:color w:val="363636"/>
          <w:sz w:val="24"/>
          <w:szCs w:val="24"/>
        </w:rPr>
        <w:t>of almost</w:t>
      </w:r>
      <w:r w:rsidRPr="0020032A">
        <w:rPr>
          <w:rFonts w:asciiTheme="minorHAnsi" w:eastAsiaTheme="minorHAnsi" w:hAnsiTheme="minorHAnsi" w:cs="Arial"/>
          <w:b w:val="0"/>
          <w:bCs w:val="0"/>
          <w:color w:val="363636"/>
          <w:sz w:val="24"/>
          <w:szCs w:val="24"/>
        </w:rPr>
        <w:t xml:space="preserve"> $200 billion, and Russia </w:t>
      </w:r>
      <w:r w:rsidR="007832BA" w:rsidRPr="0020032A">
        <w:rPr>
          <w:rFonts w:asciiTheme="minorHAnsi" w:eastAsiaTheme="minorHAnsi" w:hAnsiTheme="minorHAnsi" w:cs="Arial"/>
          <w:b w:val="0"/>
          <w:bCs w:val="0"/>
          <w:color w:val="363636"/>
          <w:sz w:val="24"/>
          <w:szCs w:val="24"/>
        </w:rPr>
        <w:t>further set up</w:t>
      </w:r>
      <w:r w:rsidRPr="0020032A">
        <w:rPr>
          <w:rFonts w:asciiTheme="minorHAnsi" w:eastAsiaTheme="minorHAnsi" w:hAnsiTheme="minorHAnsi" w:cs="Arial"/>
          <w:b w:val="0"/>
          <w:bCs w:val="0"/>
          <w:color w:val="363636"/>
          <w:sz w:val="24"/>
          <w:szCs w:val="24"/>
        </w:rPr>
        <w:t xml:space="preserve"> a pair of SWFs with a combined wealth estimated at $150 billion. </w:t>
      </w:r>
      <w:r w:rsidR="007832BA" w:rsidRPr="0020032A">
        <w:rPr>
          <w:rFonts w:asciiTheme="minorHAnsi" w:eastAsiaTheme="minorHAnsi" w:hAnsiTheme="minorHAnsi" w:cs="Arial"/>
          <w:b w:val="0"/>
          <w:bCs w:val="0"/>
          <w:color w:val="363636"/>
          <w:sz w:val="24"/>
          <w:szCs w:val="24"/>
        </w:rPr>
        <w:t xml:space="preserve">There </w:t>
      </w:r>
      <w:r w:rsidR="007832BA" w:rsidRPr="0020032A">
        <w:rPr>
          <w:rFonts w:asciiTheme="minorHAnsi" w:eastAsiaTheme="minorHAnsi" w:hAnsiTheme="minorHAnsi" w:cs="Arial"/>
          <w:b w:val="0"/>
          <w:bCs w:val="0"/>
          <w:color w:val="363636"/>
          <w:sz w:val="24"/>
          <w:szCs w:val="24"/>
        </w:rPr>
        <w:lastRenderedPageBreak/>
        <w:t xml:space="preserve">are many countries currently using these funds and many others have shown t heir keenness to establish their own SWF. It is important to note that </w:t>
      </w:r>
      <w:r w:rsidRPr="0020032A">
        <w:rPr>
          <w:rFonts w:asciiTheme="minorHAnsi" w:eastAsiaTheme="minorHAnsi" w:hAnsiTheme="minorHAnsi" w:cs="Arial"/>
          <w:b w:val="0"/>
          <w:bCs w:val="0"/>
          <w:color w:val="363636"/>
          <w:sz w:val="24"/>
          <w:szCs w:val="24"/>
        </w:rPr>
        <w:t xml:space="preserve">8 </w:t>
      </w:r>
      <w:r w:rsidR="007832BA" w:rsidRPr="0020032A">
        <w:rPr>
          <w:rFonts w:asciiTheme="minorHAnsi" w:eastAsiaTheme="minorHAnsi" w:hAnsiTheme="minorHAnsi" w:cs="Arial"/>
          <w:b w:val="0"/>
          <w:bCs w:val="0"/>
          <w:color w:val="363636"/>
          <w:sz w:val="24"/>
          <w:szCs w:val="24"/>
        </w:rPr>
        <w:t>m</w:t>
      </w:r>
      <w:r w:rsidRPr="0020032A">
        <w:rPr>
          <w:rFonts w:asciiTheme="minorHAnsi" w:eastAsiaTheme="minorHAnsi" w:hAnsiTheme="minorHAnsi" w:cs="Arial"/>
          <w:b w:val="0"/>
          <w:bCs w:val="0"/>
          <w:color w:val="363636"/>
          <w:sz w:val="24"/>
          <w:szCs w:val="24"/>
        </w:rPr>
        <w:t>ost</w:t>
      </w:r>
      <w:r w:rsidR="007832BA" w:rsidRPr="0020032A">
        <w:rPr>
          <w:rFonts w:asciiTheme="minorHAnsi" w:eastAsiaTheme="minorHAnsi" w:hAnsiTheme="minorHAnsi" w:cs="Arial"/>
          <w:b w:val="0"/>
          <w:bCs w:val="0"/>
          <w:color w:val="363636"/>
          <w:sz w:val="24"/>
          <w:szCs w:val="24"/>
        </w:rPr>
        <w:t xml:space="preserve"> advanced</w:t>
      </w:r>
      <w:r w:rsidRPr="0020032A">
        <w:rPr>
          <w:rFonts w:asciiTheme="minorHAnsi" w:eastAsiaTheme="minorHAnsi" w:hAnsiTheme="minorHAnsi" w:cs="Arial"/>
          <w:b w:val="0"/>
          <w:bCs w:val="0"/>
          <w:color w:val="363636"/>
          <w:sz w:val="24"/>
          <w:szCs w:val="24"/>
        </w:rPr>
        <w:t xml:space="preserve"> SWFs are either </w:t>
      </w:r>
      <w:r w:rsidR="007832BA" w:rsidRPr="0020032A">
        <w:rPr>
          <w:rFonts w:asciiTheme="minorHAnsi" w:eastAsiaTheme="minorHAnsi" w:hAnsiTheme="minorHAnsi" w:cs="Arial"/>
          <w:b w:val="0"/>
          <w:bCs w:val="0"/>
          <w:color w:val="363636"/>
          <w:sz w:val="24"/>
          <w:szCs w:val="24"/>
        </w:rPr>
        <w:t xml:space="preserve">in </w:t>
      </w:r>
      <w:r w:rsidRPr="0020032A">
        <w:rPr>
          <w:rFonts w:asciiTheme="minorHAnsi" w:eastAsiaTheme="minorHAnsi" w:hAnsiTheme="minorHAnsi" w:cs="Arial"/>
          <w:b w:val="0"/>
          <w:bCs w:val="0"/>
          <w:color w:val="363636"/>
          <w:sz w:val="24"/>
          <w:szCs w:val="24"/>
        </w:rPr>
        <w:t>oil-producing nations or in economies running trade surpluses.</w:t>
      </w:r>
    </w:p>
    <w:p w:rsidR="007832BA" w:rsidRPr="0020032A" w:rsidRDefault="007832BA"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r w:rsidRPr="0020032A">
        <w:rPr>
          <w:rFonts w:asciiTheme="minorHAnsi" w:eastAsiaTheme="minorHAnsi" w:hAnsiTheme="minorHAnsi" w:cs="Arial"/>
          <w:b w:val="0"/>
          <w:bCs w:val="0"/>
          <w:color w:val="363636"/>
          <w:sz w:val="24"/>
          <w:szCs w:val="24"/>
        </w:rPr>
        <w:t xml:space="preserve">In 2008 US and Germany made proper roadmaps related to the management of SWFs keeping their large public and economic interest in forefront. Further in 2008 code of conduct drafted </w:t>
      </w:r>
      <w:r w:rsidR="002457E0">
        <w:rPr>
          <w:rFonts w:asciiTheme="minorHAnsi" w:eastAsiaTheme="minorHAnsi" w:hAnsiTheme="minorHAnsi" w:cs="Arial"/>
          <w:b w:val="0"/>
          <w:bCs w:val="0"/>
          <w:color w:val="363636"/>
          <w:sz w:val="24"/>
          <w:szCs w:val="24"/>
        </w:rPr>
        <w:t>b</w:t>
      </w:r>
      <w:r w:rsidRPr="0020032A">
        <w:rPr>
          <w:rFonts w:asciiTheme="minorHAnsi" w:eastAsiaTheme="minorHAnsi" w:hAnsiTheme="minorHAnsi" w:cs="Arial"/>
          <w:b w:val="0"/>
          <w:bCs w:val="0"/>
          <w:color w:val="363636"/>
          <w:sz w:val="24"/>
          <w:szCs w:val="24"/>
        </w:rPr>
        <w:t>y IMF for the operation of SWF which was agreed in a summit in Chili.</w:t>
      </w:r>
    </w:p>
    <w:p w:rsidR="002457E0" w:rsidRDefault="002457E0" w:rsidP="00250239">
      <w:pPr>
        <w:shd w:val="clear" w:color="auto" w:fill="FFFFFF"/>
        <w:spacing w:before="100" w:beforeAutospacing="1" w:after="24" w:line="336" w:lineRule="atLeast"/>
        <w:rPr>
          <w:rFonts w:cs="Arial"/>
          <w:color w:val="252525"/>
          <w:sz w:val="24"/>
          <w:szCs w:val="24"/>
        </w:rPr>
      </w:pPr>
      <w:r>
        <w:rPr>
          <w:rFonts w:cs="Arial"/>
          <w:color w:val="252525"/>
          <w:sz w:val="24"/>
          <w:szCs w:val="24"/>
        </w:rPr>
        <w:t xml:space="preserve">Various other SWFs have also been established across globe after 2010 mainly due to hike in the energy related commodities prices. Few of them are </w:t>
      </w:r>
      <w:r w:rsidRPr="0020032A">
        <w:rPr>
          <w:rFonts w:cs="Arial"/>
          <w:color w:val="252525"/>
          <w:sz w:val="24"/>
          <w:szCs w:val="24"/>
        </w:rPr>
        <w:t>the</w:t>
      </w:r>
      <w:r w:rsidRPr="0020032A">
        <w:rPr>
          <w:rStyle w:val="apple-converted-space"/>
          <w:rFonts w:cs="Arial"/>
          <w:color w:val="252525"/>
          <w:sz w:val="24"/>
          <w:szCs w:val="24"/>
        </w:rPr>
        <w:t> </w:t>
      </w:r>
      <w:r w:rsidRPr="002457E0">
        <w:rPr>
          <w:rFonts w:cs="Arial"/>
          <w:color w:val="252525"/>
          <w:sz w:val="24"/>
          <w:szCs w:val="24"/>
        </w:rPr>
        <w:t>North Dakota</w:t>
      </w:r>
      <w:r w:rsidRPr="0020032A">
        <w:rPr>
          <w:rStyle w:val="apple-converted-space"/>
          <w:rFonts w:cs="Arial"/>
          <w:color w:val="252525"/>
          <w:sz w:val="24"/>
          <w:szCs w:val="24"/>
        </w:rPr>
        <w:t> </w:t>
      </w:r>
      <w:r w:rsidRPr="0020032A">
        <w:rPr>
          <w:rFonts w:cs="Arial"/>
          <w:color w:val="252525"/>
          <w:sz w:val="24"/>
          <w:szCs w:val="24"/>
        </w:rPr>
        <w:t>Legacy Fund (2011) and the Western</w:t>
      </w:r>
      <w:r w:rsidRPr="0020032A">
        <w:rPr>
          <w:rStyle w:val="apple-converted-space"/>
          <w:rFonts w:cs="Arial"/>
          <w:color w:val="252525"/>
          <w:sz w:val="24"/>
          <w:szCs w:val="24"/>
        </w:rPr>
        <w:t> </w:t>
      </w:r>
      <w:r w:rsidRPr="0020032A">
        <w:rPr>
          <w:rFonts w:cs="Arial"/>
          <w:color w:val="252525"/>
          <w:sz w:val="24"/>
          <w:szCs w:val="24"/>
        </w:rPr>
        <w:t>Future Fund (2012).</w:t>
      </w:r>
      <w:r>
        <w:rPr>
          <w:rFonts w:cs="Arial"/>
          <w:color w:val="252525"/>
          <w:sz w:val="24"/>
          <w:szCs w:val="24"/>
        </w:rPr>
        <w:t xml:space="preserve"> The Bank of Israel is also working to </w:t>
      </w:r>
      <w:proofErr w:type="gramStart"/>
      <w:r>
        <w:rPr>
          <w:rFonts w:cs="Arial"/>
          <w:color w:val="252525"/>
          <w:sz w:val="24"/>
          <w:szCs w:val="24"/>
        </w:rPr>
        <w:t>formulate  Israeli</w:t>
      </w:r>
      <w:proofErr w:type="gramEnd"/>
      <w:r>
        <w:rPr>
          <w:rFonts w:cs="Arial"/>
          <w:color w:val="252525"/>
          <w:sz w:val="24"/>
          <w:szCs w:val="24"/>
        </w:rPr>
        <w:t xml:space="preserve"> </w:t>
      </w:r>
      <w:r w:rsidR="007E0AAC">
        <w:rPr>
          <w:rFonts w:cs="Arial"/>
          <w:color w:val="252525"/>
          <w:sz w:val="24"/>
          <w:szCs w:val="24"/>
        </w:rPr>
        <w:t>Sovereign</w:t>
      </w:r>
      <w:r>
        <w:rPr>
          <w:rFonts w:cs="Arial"/>
          <w:color w:val="252525"/>
          <w:sz w:val="24"/>
          <w:szCs w:val="24"/>
        </w:rPr>
        <w:t xml:space="preserve"> Investment fund which is expected to be operative by 2016</w:t>
      </w:r>
      <w:r w:rsidR="007E0AAC">
        <w:rPr>
          <w:rFonts w:cs="Arial"/>
          <w:color w:val="252525"/>
          <w:sz w:val="24"/>
          <w:szCs w:val="24"/>
        </w:rPr>
        <w:t xml:space="preserve"> having deployed many years and expertise as preparation for successful launch.</w:t>
      </w:r>
    </w:p>
    <w:p w:rsidR="00250239" w:rsidRPr="0020032A" w:rsidRDefault="00250239" w:rsidP="00250239">
      <w:pPr>
        <w:shd w:val="clear" w:color="auto" w:fill="FFFFFF"/>
        <w:spacing w:before="100" w:beforeAutospacing="1" w:after="24" w:line="336" w:lineRule="atLeast"/>
        <w:rPr>
          <w:rFonts w:cs="Arial"/>
          <w:color w:val="252525"/>
          <w:sz w:val="24"/>
          <w:szCs w:val="24"/>
        </w:rPr>
      </w:pPr>
      <w:r w:rsidRPr="0020032A">
        <w:rPr>
          <w:rFonts w:cs="Arial"/>
          <w:color w:val="252525"/>
          <w:sz w:val="24"/>
          <w:szCs w:val="24"/>
        </w:rPr>
        <w:t xml:space="preserve">. </w:t>
      </w: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250239" w:rsidRPr="0020032A" w:rsidRDefault="00250239"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350ADE">
      <w:pPr>
        <w:pStyle w:val="Heading2"/>
        <w:pBdr>
          <w:bottom w:val="single" w:sz="6" w:space="0" w:color="AAAAAA"/>
        </w:pBdr>
        <w:shd w:val="clear" w:color="auto" w:fill="FFFFFF"/>
        <w:spacing w:before="240" w:beforeAutospacing="0" w:after="60" w:afterAutospacing="0"/>
        <w:rPr>
          <w:rFonts w:asciiTheme="minorHAnsi" w:eastAsiaTheme="minorHAnsi" w:hAnsiTheme="minorHAnsi" w:cs="Arial"/>
          <w:b w:val="0"/>
          <w:bCs w:val="0"/>
          <w:color w:val="363636"/>
          <w:sz w:val="24"/>
          <w:szCs w:val="24"/>
        </w:rPr>
      </w:pPr>
    </w:p>
    <w:p w:rsidR="00E00473" w:rsidRPr="0020032A" w:rsidRDefault="00E00473" w:rsidP="00E00473">
      <w:pPr>
        <w:jc w:val="center"/>
        <w:rPr>
          <w:rFonts w:cs="Arial"/>
          <w:b/>
          <w:bCs/>
          <w:color w:val="363636"/>
          <w:sz w:val="24"/>
          <w:szCs w:val="24"/>
        </w:rPr>
      </w:pPr>
    </w:p>
    <w:p w:rsidR="00E00473" w:rsidRPr="0020032A" w:rsidRDefault="00E00473" w:rsidP="00E00473">
      <w:pPr>
        <w:jc w:val="center"/>
        <w:rPr>
          <w:rFonts w:cs="Arial"/>
          <w:b/>
          <w:bCs/>
          <w:color w:val="363636"/>
          <w:sz w:val="24"/>
          <w:szCs w:val="24"/>
        </w:rPr>
      </w:pPr>
    </w:p>
    <w:p w:rsidR="00250239" w:rsidRPr="0020032A" w:rsidRDefault="00250239" w:rsidP="00E00473">
      <w:pPr>
        <w:jc w:val="center"/>
        <w:rPr>
          <w:rFonts w:ascii="Calibri" w:eastAsia="Times New Roman" w:hAnsi="Calibri" w:cs="Times New Roman"/>
          <w:sz w:val="28"/>
          <w:szCs w:val="24"/>
          <w:u w:val="single"/>
        </w:rPr>
      </w:pPr>
      <w:r w:rsidRPr="0020032A">
        <w:rPr>
          <w:rFonts w:ascii="Calibri" w:eastAsia="Times New Roman" w:hAnsi="Calibri" w:cs="Times New Roman"/>
          <w:b/>
          <w:color w:val="000000"/>
          <w:sz w:val="28"/>
          <w:szCs w:val="24"/>
          <w:u w:val="single"/>
        </w:rPr>
        <w:t>MARKET DATA S</w:t>
      </w:r>
      <w:r w:rsidR="00E00473" w:rsidRPr="0020032A">
        <w:rPr>
          <w:rFonts w:ascii="Calibri" w:eastAsia="Times New Roman" w:hAnsi="Calibri" w:cs="Times New Roman"/>
          <w:b/>
          <w:color w:val="000000"/>
          <w:sz w:val="28"/>
          <w:szCs w:val="24"/>
          <w:u w:val="single"/>
        </w:rPr>
        <w:t>ection</w:t>
      </w:r>
    </w:p>
    <w:tbl>
      <w:tblPr>
        <w:tblpPr w:leftFromText="180" w:rightFromText="180" w:vertAnchor="text" w:horzAnchor="page" w:tblpX="913" w:tblpY="1453"/>
        <w:tblW w:w="10368" w:type="dxa"/>
        <w:tblLook w:val="04A0" w:firstRow="1" w:lastRow="0" w:firstColumn="1" w:lastColumn="0" w:noHBand="0" w:noVBand="1"/>
      </w:tblPr>
      <w:tblGrid>
        <w:gridCol w:w="714"/>
        <w:gridCol w:w="2585"/>
        <w:gridCol w:w="2517"/>
        <w:gridCol w:w="2700"/>
        <w:gridCol w:w="1893"/>
      </w:tblGrid>
      <w:tr w:rsidR="00250239" w:rsidRPr="0020032A" w:rsidTr="00250239">
        <w:trPr>
          <w:trHeight w:val="300"/>
        </w:trPr>
        <w:tc>
          <w:tcPr>
            <w:tcW w:w="673" w:type="dxa"/>
            <w:tcBorders>
              <w:top w:val="nil"/>
              <w:left w:val="nil"/>
              <w:bottom w:val="nil"/>
              <w:right w:val="nil"/>
            </w:tcBorders>
            <w:shd w:val="clear" w:color="auto" w:fill="auto"/>
            <w:noWrap/>
            <w:vAlign w:val="bottom"/>
            <w:hideMark/>
          </w:tcPr>
          <w:p w:rsidR="00250239" w:rsidRPr="007832BA" w:rsidRDefault="00250239" w:rsidP="00250239">
            <w:pPr>
              <w:spacing w:after="0" w:line="240" w:lineRule="auto"/>
              <w:rPr>
                <w:rFonts w:eastAsia="Times New Roman" w:cs="Times New Roman"/>
                <w:color w:val="000000"/>
                <w:sz w:val="24"/>
                <w:szCs w:val="24"/>
              </w:rPr>
            </w:pPr>
          </w:p>
        </w:tc>
        <w:tc>
          <w:tcPr>
            <w:tcW w:w="2585" w:type="dxa"/>
            <w:tcBorders>
              <w:top w:val="nil"/>
              <w:left w:val="nil"/>
              <w:bottom w:val="nil"/>
              <w:right w:val="nil"/>
            </w:tcBorders>
            <w:shd w:val="clear" w:color="auto" w:fill="auto"/>
            <w:noWrap/>
            <w:vAlign w:val="bottom"/>
            <w:hideMark/>
          </w:tcPr>
          <w:p w:rsidR="00250239" w:rsidRPr="007832BA" w:rsidRDefault="00250239" w:rsidP="00250239">
            <w:pPr>
              <w:spacing w:after="0" w:line="240" w:lineRule="auto"/>
              <w:rPr>
                <w:rFonts w:eastAsia="Times New Roman" w:cs="Times New Roman"/>
                <w:color w:val="000000"/>
                <w:sz w:val="24"/>
                <w:szCs w:val="24"/>
              </w:rPr>
            </w:pPr>
          </w:p>
        </w:tc>
        <w:tc>
          <w:tcPr>
            <w:tcW w:w="2517" w:type="dxa"/>
            <w:tcBorders>
              <w:top w:val="nil"/>
              <w:left w:val="nil"/>
              <w:bottom w:val="nil"/>
              <w:right w:val="nil"/>
            </w:tcBorders>
            <w:shd w:val="clear" w:color="auto" w:fill="auto"/>
            <w:noWrap/>
            <w:vAlign w:val="bottom"/>
            <w:hideMark/>
          </w:tcPr>
          <w:p w:rsidR="00250239" w:rsidRPr="007832BA" w:rsidRDefault="00250239" w:rsidP="00250239">
            <w:pPr>
              <w:spacing w:after="0" w:line="240" w:lineRule="auto"/>
              <w:rPr>
                <w:rFonts w:eastAsia="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250239" w:rsidRPr="007832BA" w:rsidRDefault="00250239" w:rsidP="00E00473">
            <w:pPr>
              <w:spacing w:after="0" w:line="240" w:lineRule="auto"/>
              <w:rPr>
                <w:rFonts w:eastAsia="Times New Roman" w:cs="Times New Roman"/>
                <w:color w:val="000000"/>
                <w:sz w:val="24"/>
                <w:szCs w:val="24"/>
              </w:rPr>
            </w:pPr>
            <w:r w:rsidRPr="007832BA">
              <w:rPr>
                <w:rFonts w:eastAsia="Times New Roman" w:cs="Times New Roman"/>
                <w:color w:val="000000"/>
                <w:sz w:val="24"/>
                <w:szCs w:val="24"/>
              </w:rPr>
              <w:t xml:space="preserve">amount in </w:t>
            </w:r>
            <w:r w:rsidR="00E00473" w:rsidRPr="0020032A">
              <w:rPr>
                <w:rFonts w:eastAsia="Times New Roman" w:cs="Times New Roman"/>
                <w:color w:val="000000"/>
                <w:sz w:val="24"/>
                <w:szCs w:val="24"/>
              </w:rPr>
              <w:t>$</w:t>
            </w:r>
            <w:r w:rsidRPr="007832BA">
              <w:rPr>
                <w:rFonts w:eastAsia="Times New Roman" w:cs="Times New Roman"/>
                <w:color w:val="000000"/>
                <w:sz w:val="24"/>
                <w:szCs w:val="24"/>
              </w:rPr>
              <w:t xml:space="preserve"> Billions</w:t>
            </w:r>
          </w:p>
        </w:tc>
        <w:tc>
          <w:tcPr>
            <w:tcW w:w="1893" w:type="dxa"/>
            <w:tcBorders>
              <w:top w:val="nil"/>
              <w:left w:val="nil"/>
              <w:bottom w:val="nil"/>
              <w:right w:val="nil"/>
            </w:tcBorders>
            <w:shd w:val="clear" w:color="auto" w:fill="auto"/>
            <w:noWrap/>
            <w:vAlign w:val="bottom"/>
            <w:hideMark/>
          </w:tcPr>
          <w:p w:rsidR="00250239" w:rsidRPr="007832BA" w:rsidRDefault="00250239" w:rsidP="00250239">
            <w:pPr>
              <w:spacing w:after="0" w:line="240" w:lineRule="auto"/>
              <w:rPr>
                <w:rFonts w:eastAsia="Times New Roman" w:cs="Times New Roman"/>
                <w:color w:val="000000"/>
                <w:sz w:val="24"/>
                <w:szCs w:val="24"/>
              </w:rPr>
            </w:pPr>
          </w:p>
        </w:tc>
      </w:tr>
      <w:tr w:rsidR="00250239" w:rsidRPr="0020032A" w:rsidTr="00250239">
        <w:trPr>
          <w:trHeight w:val="300"/>
        </w:trPr>
        <w:tc>
          <w:tcPr>
            <w:tcW w:w="6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50239" w:rsidRPr="007832BA" w:rsidRDefault="00250239" w:rsidP="00250239">
            <w:pPr>
              <w:spacing w:after="0" w:line="240" w:lineRule="auto"/>
              <w:jc w:val="center"/>
              <w:rPr>
                <w:rFonts w:eastAsia="Times New Roman" w:cs="Times New Roman"/>
                <w:b/>
                <w:bCs/>
                <w:color w:val="000000"/>
                <w:sz w:val="24"/>
                <w:szCs w:val="24"/>
              </w:rPr>
            </w:pPr>
            <w:r w:rsidRPr="007832BA">
              <w:rPr>
                <w:rFonts w:eastAsia="Times New Roman" w:cs="Times New Roman"/>
                <w:b/>
                <w:bCs/>
                <w:color w:val="000000"/>
                <w:sz w:val="24"/>
                <w:szCs w:val="24"/>
              </w:rPr>
              <w:t>Rank</w:t>
            </w:r>
          </w:p>
        </w:tc>
        <w:tc>
          <w:tcPr>
            <w:tcW w:w="2585" w:type="dxa"/>
            <w:tcBorders>
              <w:top w:val="single" w:sz="4" w:space="0" w:color="auto"/>
              <w:left w:val="nil"/>
              <w:bottom w:val="single" w:sz="4" w:space="0" w:color="auto"/>
              <w:right w:val="single" w:sz="4" w:space="0" w:color="auto"/>
            </w:tcBorders>
            <w:shd w:val="clear" w:color="000000" w:fill="FFFF00"/>
            <w:noWrap/>
            <w:vAlign w:val="bottom"/>
            <w:hideMark/>
          </w:tcPr>
          <w:p w:rsidR="00250239" w:rsidRPr="007832BA" w:rsidRDefault="00250239" w:rsidP="00250239">
            <w:pPr>
              <w:spacing w:after="0" w:line="240" w:lineRule="auto"/>
              <w:jc w:val="center"/>
              <w:rPr>
                <w:rFonts w:eastAsia="Times New Roman" w:cs="Times New Roman"/>
                <w:b/>
                <w:bCs/>
                <w:color w:val="000000"/>
                <w:sz w:val="24"/>
                <w:szCs w:val="24"/>
              </w:rPr>
            </w:pPr>
            <w:r w:rsidRPr="007832BA">
              <w:rPr>
                <w:rFonts w:eastAsia="Times New Roman" w:cs="Times New Roman"/>
                <w:b/>
                <w:bCs/>
                <w:color w:val="000000"/>
                <w:sz w:val="24"/>
                <w:szCs w:val="24"/>
              </w:rPr>
              <w:t>Fund</w:t>
            </w:r>
          </w:p>
        </w:tc>
        <w:tc>
          <w:tcPr>
            <w:tcW w:w="2517" w:type="dxa"/>
            <w:tcBorders>
              <w:top w:val="single" w:sz="4" w:space="0" w:color="auto"/>
              <w:left w:val="nil"/>
              <w:bottom w:val="single" w:sz="4" w:space="0" w:color="auto"/>
              <w:right w:val="single" w:sz="4" w:space="0" w:color="auto"/>
            </w:tcBorders>
            <w:shd w:val="clear" w:color="000000" w:fill="FFFF00"/>
            <w:noWrap/>
            <w:vAlign w:val="bottom"/>
            <w:hideMark/>
          </w:tcPr>
          <w:p w:rsidR="00250239" w:rsidRPr="007832BA" w:rsidRDefault="00250239" w:rsidP="00250239">
            <w:pPr>
              <w:spacing w:after="0" w:line="240" w:lineRule="auto"/>
              <w:jc w:val="center"/>
              <w:rPr>
                <w:rFonts w:eastAsia="Times New Roman" w:cs="Times New Roman"/>
                <w:b/>
                <w:bCs/>
                <w:color w:val="000000"/>
                <w:sz w:val="24"/>
                <w:szCs w:val="24"/>
              </w:rPr>
            </w:pPr>
            <w:r w:rsidRPr="007832BA">
              <w:rPr>
                <w:rFonts w:eastAsia="Times New Roman" w:cs="Times New Roman"/>
                <w:b/>
                <w:bCs/>
                <w:color w:val="000000"/>
                <w:sz w:val="24"/>
                <w:szCs w:val="24"/>
              </w:rPr>
              <w:t>Country</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rsidR="00250239" w:rsidRPr="007832BA" w:rsidRDefault="00250239" w:rsidP="00250239">
            <w:pPr>
              <w:spacing w:after="0" w:line="240" w:lineRule="auto"/>
              <w:jc w:val="center"/>
              <w:rPr>
                <w:rFonts w:eastAsia="Times New Roman" w:cs="Times New Roman"/>
                <w:b/>
                <w:bCs/>
                <w:color w:val="000000"/>
                <w:sz w:val="24"/>
                <w:szCs w:val="24"/>
              </w:rPr>
            </w:pPr>
            <w:r w:rsidRPr="007832BA">
              <w:rPr>
                <w:rFonts w:eastAsia="Times New Roman" w:cs="Times New Roman"/>
                <w:b/>
                <w:bCs/>
                <w:color w:val="000000"/>
                <w:sz w:val="24"/>
                <w:szCs w:val="24"/>
              </w:rPr>
              <w:t>Type</w:t>
            </w:r>
          </w:p>
        </w:tc>
        <w:tc>
          <w:tcPr>
            <w:tcW w:w="1893" w:type="dxa"/>
            <w:tcBorders>
              <w:top w:val="single" w:sz="4" w:space="0" w:color="auto"/>
              <w:left w:val="nil"/>
              <w:bottom w:val="single" w:sz="4" w:space="0" w:color="auto"/>
              <w:right w:val="single" w:sz="4" w:space="0" w:color="auto"/>
            </w:tcBorders>
            <w:shd w:val="clear" w:color="000000" w:fill="FFFF00"/>
            <w:noWrap/>
            <w:vAlign w:val="bottom"/>
            <w:hideMark/>
          </w:tcPr>
          <w:p w:rsidR="00250239" w:rsidRPr="007832BA" w:rsidRDefault="00250239" w:rsidP="00250239">
            <w:pPr>
              <w:spacing w:after="0" w:line="240" w:lineRule="auto"/>
              <w:jc w:val="center"/>
              <w:rPr>
                <w:rFonts w:eastAsia="Times New Roman" w:cs="Times New Roman"/>
                <w:b/>
                <w:bCs/>
                <w:color w:val="000000"/>
                <w:sz w:val="24"/>
                <w:szCs w:val="24"/>
              </w:rPr>
            </w:pPr>
            <w:r w:rsidRPr="007832BA">
              <w:rPr>
                <w:rFonts w:eastAsia="Times New Roman" w:cs="Times New Roman"/>
                <w:b/>
                <w:bCs/>
                <w:color w:val="000000"/>
                <w:sz w:val="24"/>
                <w:szCs w:val="24"/>
              </w:rPr>
              <w:t>Jun-15</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1</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Social Security Trust Fund</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United States</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National Pension</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2,789.50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2</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Government Pension Investment Fund</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Japan</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National Pension</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1,150.00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3</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Government Pension  Fund </w:t>
            </w:r>
            <w:r w:rsidRPr="0020032A">
              <w:rPr>
                <w:rFonts w:eastAsia="Times New Roman" w:cs="Times New Roman"/>
                <w:color w:val="000000"/>
                <w:sz w:val="24"/>
                <w:szCs w:val="24"/>
              </w:rPr>
              <w:t>–</w:t>
            </w:r>
            <w:r w:rsidRPr="007832BA">
              <w:rPr>
                <w:rFonts w:eastAsia="Times New Roman" w:cs="Times New Roman"/>
                <w:color w:val="000000"/>
                <w:sz w:val="24"/>
                <w:szCs w:val="24"/>
              </w:rPr>
              <w:t xml:space="preserve"> Global</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Norway</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882.00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4</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Abu Dhabi Investment Authority</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United Arab Emirates</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773.00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5</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China Investment Corporation</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China</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746.70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6</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SAMA Foreign Holdings</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Saudia</w:t>
            </w:r>
            <w:proofErr w:type="spellEnd"/>
            <w:r w:rsidRPr="007832BA">
              <w:rPr>
                <w:rFonts w:eastAsia="Times New Roman" w:cs="Times New Roman"/>
                <w:color w:val="000000"/>
                <w:sz w:val="24"/>
                <w:szCs w:val="24"/>
              </w:rPr>
              <w:t xml:space="preserve"> Arabia</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671.80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7</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Kuwait Investment Authority</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Kuwait</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592.00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8</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SAFE Investment Company</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China</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Soverign</w:t>
            </w:r>
            <w:proofErr w:type="spellEnd"/>
            <w:r w:rsidRPr="007832BA">
              <w:rPr>
                <w:rFonts w:eastAsia="Times New Roman" w:cs="Times New Roman"/>
                <w:color w:val="000000"/>
                <w:sz w:val="24"/>
                <w:szCs w:val="24"/>
              </w:rPr>
              <w:t xml:space="preserve"> Wealth Fund</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567.90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9</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National Pension Service of Republic of Korea</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South Korea</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National Pension</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455.00 </w:t>
            </w:r>
          </w:p>
        </w:tc>
      </w:tr>
      <w:tr w:rsidR="00250239" w:rsidRPr="0020032A" w:rsidTr="00250239">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10</w:t>
            </w:r>
          </w:p>
        </w:tc>
        <w:tc>
          <w:tcPr>
            <w:tcW w:w="2585"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proofErr w:type="spellStart"/>
            <w:r w:rsidRPr="007832BA">
              <w:rPr>
                <w:rFonts w:eastAsia="Times New Roman" w:cs="Times New Roman"/>
                <w:color w:val="000000"/>
                <w:sz w:val="24"/>
                <w:szCs w:val="24"/>
              </w:rPr>
              <w:t>Stiching</w:t>
            </w:r>
            <w:proofErr w:type="spellEnd"/>
            <w:r w:rsidRPr="007832BA">
              <w:rPr>
                <w:rFonts w:eastAsia="Times New Roman" w:cs="Times New Roman"/>
                <w:color w:val="000000"/>
                <w:sz w:val="24"/>
                <w:szCs w:val="24"/>
              </w:rPr>
              <w:t xml:space="preserve"> </w:t>
            </w:r>
            <w:proofErr w:type="spellStart"/>
            <w:r w:rsidRPr="007832BA">
              <w:rPr>
                <w:rFonts w:eastAsia="Times New Roman" w:cs="Times New Roman"/>
                <w:color w:val="000000"/>
                <w:sz w:val="24"/>
                <w:szCs w:val="24"/>
              </w:rPr>
              <w:t>Pensionfonds</w:t>
            </w:r>
            <w:proofErr w:type="spellEnd"/>
            <w:r w:rsidRPr="007832BA">
              <w:rPr>
                <w:rFonts w:eastAsia="Times New Roman" w:cs="Times New Roman"/>
                <w:color w:val="000000"/>
                <w:sz w:val="24"/>
                <w:szCs w:val="24"/>
              </w:rPr>
              <w:t xml:space="preserve"> ABP</w:t>
            </w:r>
          </w:p>
        </w:tc>
        <w:tc>
          <w:tcPr>
            <w:tcW w:w="2517"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Netherlands</w:t>
            </w:r>
          </w:p>
        </w:tc>
        <w:tc>
          <w:tcPr>
            <w:tcW w:w="2700"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Public Pension</w:t>
            </w:r>
          </w:p>
        </w:tc>
        <w:tc>
          <w:tcPr>
            <w:tcW w:w="1893" w:type="dxa"/>
            <w:tcBorders>
              <w:top w:val="nil"/>
              <w:left w:val="nil"/>
              <w:bottom w:val="single" w:sz="4" w:space="0" w:color="auto"/>
              <w:right w:val="single" w:sz="4" w:space="0" w:color="auto"/>
            </w:tcBorders>
            <w:shd w:val="clear" w:color="auto" w:fill="auto"/>
            <w:noWrap/>
            <w:vAlign w:val="bottom"/>
            <w:hideMark/>
          </w:tcPr>
          <w:p w:rsidR="00250239" w:rsidRPr="007832BA" w:rsidRDefault="00250239" w:rsidP="00250239">
            <w:pPr>
              <w:spacing w:after="0" w:line="240" w:lineRule="auto"/>
              <w:jc w:val="center"/>
              <w:rPr>
                <w:rFonts w:eastAsia="Times New Roman" w:cs="Times New Roman"/>
                <w:color w:val="000000"/>
                <w:sz w:val="24"/>
                <w:szCs w:val="24"/>
              </w:rPr>
            </w:pPr>
            <w:r w:rsidRPr="007832BA">
              <w:rPr>
                <w:rFonts w:eastAsia="Times New Roman" w:cs="Times New Roman"/>
                <w:color w:val="000000"/>
                <w:sz w:val="24"/>
                <w:szCs w:val="24"/>
              </w:rPr>
              <w:t xml:space="preserve">      440.00 </w:t>
            </w:r>
          </w:p>
        </w:tc>
      </w:tr>
    </w:tbl>
    <w:p w:rsidR="00B331CC" w:rsidRPr="0020032A" w:rsidRDefault="00B331CC">
      <w:pPr>
        <w:rPr>
          <w:rFonts w:cs="Arial"/>
          <w:b/>
          <w:sz w:val="24"/>
          <w:szCs w:val="24"/>
        </w:rPr>
      </w:pPr>
    </w:p>
    <w:p w:rsidR="007832BA" w:rsidRPr="0020032A" w:rsidRDefault="007832BA">
      <w:pPr>
        <w:rPr>
          <w:rFonts w:cs="Arial"/>
          <w:b/>
          <w:sz w:val="24"/>
          <w:szCs w:val="24"/>
        </w:rPr>
      </w:pPr>
    </w:p>
    <w:p w:rsidR="00250239" w:rsidRPr="0020032A" w:rsidRDefault="00250239">
      <w:pPr>
        <w:rPr>
          <w:rFonts w:cs="Arial"/>
          <w:b/>
          <w:bCs/>
          <w:sz w:val="24"/>
          <w:szCs w:val="24"/>
          <w:shd w:val="clear" w:color="auto" w:fill="FFFFFF"/>
        </w:rPr>
      </w:pPr>
      <w:r w:rsidRPr="0020032A">
        <w:rPr>
          <w:noProof/>
          <w:sz w:val="24"/>
          <w:szCs w:val="24"/>
        </w:rPr>
        <w:lastRenderedPageBreak/>
        <w:drawing>
          <wp:inline distT="0" distB="0" distL="0" distR="0" wp14:anchorId="3B55B04C" wp14:editId="61593098">
            <wp:extent cx="5943600" cy="3638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0239" w:rsidRPr="0020032A" w:rsidRDefault="00250239">
      <w:pPr>
        <w:rPr>
          <w:rFonts w:cs="Arial"/>
          <w:b/>
          <w:bCs/>
          <w:sz w:val="24"/>
          <w:szCs w:val="24"/>
          <w:shd w:val="clear" w:color="auto" w:fill="FFFFFF"/>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E00473" w:rsidRPr="0020032A" w:rsidRDefault="00E00473" w:rsidP="00250239">
      <w:pPr>
        <w:rPr>
          <w:rStyle w:val="apple-converted-space"/>
          <w:b/>
          <w:color w:val="363636"/>
          <w:sz w:val="24"/>
          <w:szCs w:val="24"/>
        </w:rPr>
      </w:pPr>
    </w:p>
    <w:p w:rsidR="00250239" w:rsidRPr="0020032A" w:rsidRDefault="00250239" w:rsidP="00E00473">
      <w:pPr>
        <w:jc w:val="center"/>
        <w:rPr>
          <w:rFonts w:ascii="Calibri" w:eastAsia="Times New Roman" w:hAnsi="Calibri" w:cs="Times New Roman"/>
          <w:b/>
          <w:color w:val="000000"/>
          <w:sz w:val="24"/>
          <w:szCs w:val="24"/>
          <w:u w:val="single"/>
        </w:rPr>
      </w:pPr>
      <w:r w:rsidRPr="0020032A">
        <w:rPr>
          <w:rFonts w:ascii="Calibri" w:eastAsia="Times New Roman" w:hAnsi="Calibri" w:cs="Times New Roman"/>
          <w:b/>
          <w:color w:val="000000"/>
          <w:sz w:val="28"/>
          <w:szCs w:val="24"/>
          <w:u w:val="single"/>
        </w:rPr>
        <w:lastRenderedPageBreak/>
        <w:t>Competitor Information</w:t>
      </w:r>
    </w:p>
    <w:p w:rsidR="00250239" w:rsidRPr="0020032A" w:rsidRDefault="00250239" w:rsidP="00250239">
      <w:pPr>
        <w:rPr>
          <w:rFonts w:cs="Arial"/>
          <w:bCs/>
          <w:sz w:val="24"/>
          <w:szCs w:val="24"/>
          <w:shd w:val="clear" w:color="auto" w:fill="FFFFFF"/>
        </w:rPr>
      </w:pPr>
      <w:r w:rsidRPr="0020032A">
        <w:rPr>
          <w:rFonts w:cs="Arial"/>
          <w:bCs/>
          <w:sz w:val="24"/>
          <w:szCs w:val="24"/>
          <w:shd w:val="clear" w:color="auto" w:fill="FFFFFF"/>
        </w:rPr>
        <w:t xml:space="preserve">The leader of the SWF industry is currently </w:t>
      </w:r>
      <w:r w:rsidRPr="007832BA">
        <w:rPr>
          <w:rFonts w:eastAsia="Times New Roman" w:cs="Times New Roman"/>
          <w:color w:val="000000"/>
          <w:sz w:val="24"/>
          <w:szCs w:val="24"/>
        </w:rPr>
        <w:t>Social Security Trust Fund</w:t>
      </w:r>
      <w:r w:rsidRPr="0020032A">
        <w:rPr>
          <w:rFonts w:eastAsia="Times New Roman" w:cs="Times New Roman"/>
          <w:color w:val="000000"/>
          <w:sz w:val="24"/>
          <w:szCs w:val="24"/>
        </w:rPr>
        <w:t xml:space="preserve"> founded in United States of America </w:t>
      </w:r>
      <w:r w:rsidRPr="0020032A">
        <w:rPr>
          <w:rFonts w:cs="Arial"/>
          <w:color w:val="252525"/>
          <w:sz w:val="24"/>
          <w:szCs w:val="24"/>
          <w:shd w:val="clear" w:color="auto" w:fill="FFFFFF"/>
        </w:rPr>
        <w:t>with $2.8 trillion of assets in 2014, and established in 1977.</w:t>
      </w:r>
      <w:r w:rsidRPr="0020032A">
        <w:rPr>
          <w:rFonts w:cs="Arial"/>
          <w:bCs/>
          <w:sz w:val="24"/>
          <w:szCs w:val="24"/>
          <w:shd w:val="clear" w:color="auto" w:fill="FFFFFF"/>
        </w:rPr>
        <w:t xml:space="preserve"> Coming up at close second is </w:t>
      </w:r>
      <w:r w:rsidR="00E00473" w:rsidRPr="007832BA">
        <w:rPr>
          <w:rFonts w:eastAsia="Times New Roman" w:cs="Times New Roman"/>
          <w:color w:val="000000"/>
          <w:sz w:val="24"/>
          <w:szCs w:val="24"/>
        </w:rPr>
        <w:t>Government Pension Investment Fund</w:t>
      </w:r>
      <w:r w:rsidR="00E00473" w:rsidRPr="0020032A">
        <w:rPr>
          <w:rFonts w:eastAsia="Times New Roman" w:cs="Times New Roman"/>
          <w:color w:val="000000"/>
          <w:sz w:val="24"/>
          <w:szCs w:val="24"/>
        </w:rPr>
        <w:t xml:space="preserve"> – Japan</w:t>
      </w:r>
      <w:r w:rsidR="0020032A" w:rsidRPr="0020032A">
        <w:rPr>
          <w:rFonts w:eastAsia="Times New Roman" w:cs="Times New Roman"/>
          <w:color w:val="000000"/>
          <w:sz w:val="24"/>
          <w:szCs w:val="24"/>
        </w:rPr>
        <w:t>;</w:t>
      </w:r>
      <w:r w:rsidRPr="0020032A">
        <w:rPr>
          <w:rFonts w:cs="Arial"/>
          <w:bCs/>
          <w:sz w:val="24"/>
          <w:szCs w:val="24"/>
          <w:shd w:val="clear" w:color="auto" w:fill="FFFFFF"/>
        </w:rPr>
        <w:t xml:space="preserve"> this is a</w:t>
      </w:r>
      <w:r w:rsidR="00E00473" w:rsidRPr="0020032A">
        <w:rPr>
          <w:rFonts w:cs="Arial"/>
          <w:bCs/>
          <w:sz w:val="24"/>
          <w:szCs w:val="24"/>
          <w:shd w:val="clear" w:color="auto" w:fill="FFFFFF"/>
        </w:rPr>
        <w:t xml:space="preserve"> </w:t>
      </w:r>
      <w:r w:rsidR="0020032A" w:rsidRPr="0020032A">
        <w:rPr>
          <w:rFonts w:cs="Arial"/>
          <w:bCs/>
          <w:sz w:val="24"/>
          <w:szCs w:val="24"/>
          <w:shd w:val="clear" w:color="auto" w:fill="FFFFFF"/>
        </w:rPr>
        <w:t>Japanese</w:t>
      </w:r>
      <w:r w:rsidR="00E00473" w:rsidRPr="0020032A">
        <w:rPr>
          <w:rFonts w:cs="Arial"/>
          <w:bCs/>
          <w:sz w:val="24"/>
          <w:szCs w:val="24"/>
          <w:shd w:val="clear" w:color="auto" w:fill="FFFFFF"/>
        </w:rPr>
        <w:t xml:space="preserve"> SWF and was founded in 2006 with its head quarter in Tokyo and is being governed by the Japan’s ministry of health, </w:t>
      </w:r>
      <w:r w:rsidR="0020032A" w:rsidRPr="0020032A">
        <w:rPr>
          <w:rFonts w:cs="Arial"/>
          <w:bCs/>
          <w:sz w:val="24"/>
          <w:szCs w:val="24"/>
          <w:shd w:val="clear" w:color="auto" w:fill="FFFFFF"/>
        </w:rPr>
        <w:t>labor</w:t>
      </w:r>
      <w:r w:rsidR="00E00473" w:rsidRPr="0020032A">
        <w:rPr>
          <w:rFonts w:cs="Arial"/>
          <w:bCs/>
          <w:sz w:val="24"/>
          <w:szCs w:val="24"/>
          <w:shd w:val="clear" w:color="auto" w:fill="FFFFFF"/>
        </w:rPr>
        <w:t xml:space="preserve"> and welfare.</w:t>
      </w:r>
      <w:r w:rsidRPr="0020032A">
        <w:rPr>
          <w:rFonts w:cs="Arial"/>
          <w:bCs/>
          <w:sz w:val="24"/>
          <w:szCs w:val="24"/>
          <w:shd w:val="clear" w:color="auto" w:fill="FFFFFF"/>
        </w:rPr>
        <w:t xml:space="preserve"> </w:t>
      </w:r>
      <w:r w:rsidR="00E00473" w:rsidRPr="007832BA">
        <w:rPr>
          <w:rFonts w:eastAsia="Times New Roman" w:cs="Times New Roman"/>
          <w:color w:val="000000"/>
          <w:sz w:val="24"/>
          <w:szCs w:val="24"/>
        </w:rPr>
        <w:t>Abu Dhabi Investment Authority</w:t>
      </w:r>
      <w:r w:rsidR="00E00473" w:rsidRPr="0020032A">
        <w:rPr>
          <w:rFonts w:eastAsia="Times New Roman" w:cs="Times New Roman"/>
          <w:color w:val="000000"/>
          <w:sz w:val="24"/>
          <w:szCs w:val="24"/>
        </w:rPr>
        <w:t xml:space="preserve"> comes 4</w:t>
      </w:r>
      <w:r w:rsidR="00E00473" w:rsidRPr="0020032A">
        <w:rPr>
          <w:rFonts w:eastAsia="Times New Roman" w:cs="Times New Roman"/>
          <w:color w:val="000000"/>
          <w:sz w:val="24"/>
          <w:szCs w:val="24"/>
          <w:vertAlign w:val="superscript"/>
        </w:rPr>
        <w:t>th</w:t>
      </w:r>
      <w:r w:rsidR="00E00473" w:rsidRPr="0020032A">
        <w:rPr>
          <w:rFonts w:eastAsia="Times New Roman" w:cs="Times New Roman"/>
          <w:color w:val="000000"/>
          <w:sz w:val="24"/>
          <w:szCs w:val="24"/>
        </w:rPr>
        <w:t xml:space="preserve"> in term of dollar value and with the head quarter in Abu Dhabi.</w:t>
      </w:r>
    </w:p>
    <w:p w:rsidR="00250239" w:rsidRPr="0020032A" w:rsidRDefault="00250239">
      <w:pPr>
        <w:rPr>
          <w:rFonts w:cs="Arial"/>
          <w:b/>
          <w:bCs/>
          <w:sz w:val="24"/>
          <w:szCs w:val="24"/>
          <w:shd w:val="clear" w:color="auto" w:fill="FFFFFF"/>
        </w:rPr>
      </w:pPr>
    </w:p>
    <w:p w:rsidR="00250239" w:rsidRPr="0020032A" w:rsidRDefault="00250239">
      <w:pPr>
        <w:rPr>
          <w:rFonts w:cs="Arial"/>
          <w:b/>
          <w:bCs/>
          <w:sz w:val="24"/>
          <w:szCs w:val="24"/>
          <w:shd w:val="clear" w:color="auto" w:fill="FFFFFF"/>
        </w:rPr>
      </w:pPr>
    </w:p>
    <w:p w:rsidR="00250239" w:rsidRPr="0020032A" w:rsidRDefault="00250239" w:rsidP="00E00473">
      <w:pPr>
        <w:jc w:val="center"/>
        <w:rPr>
          <w:rFonts w:cs="Arial"/>
          <w:b/>
          <w:bCs/>
          <w:sz w:val="24"/>
          <w:szCs w:val="24"/>
          <w:shd w:val="clear" w:color="auto" w:fill="FFFFFF"/>
        </w:rPr>
      </w:pPr>
    </w:p>
    <w:p w:rsidR="00250239" w:rsidRPr="0020032A" w:rsidRDefault="00250239">
      <w:pPr>
        <w:rPr>
          <w:rFonts w:cs="Arial"/>
          <w:b/>
          <w:bCs/>
          <w:sz w:val="24"/>
          <w:szCs w:val="24"/>
          <w:shd w:val="clear" w:color="auto" w:fill="FFFFFF"/>
        </w:rPr>
      </w:pPr>
    </w:p>
    <w:p w:rsidR="00250239" w:rsidRPr="0020032A" w:rsidRDefault="00250239">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pPr>
        <w:rPr>
          <w:rFonts w:cs="Arial"/>
          <w:b/>
          <w:bCs/>
          <w:sz w:val="24"/>
          <w:szCs w:val="24"/>
          <w:shd w:val="clear" w:color="auto" w:fill="FFFFFF"/>
        </w:rPr>
      </w:pPr>
    </w:p>
    <w:p w:rsidR="0020032A" w:rsidRPr="0020032A" w:rsidRDefault="0020032A" w:rsidP="0020032A">
      <w:pPr>
        <w:jc w:val="center"/>
        <w:rPr>
          <w:rFonts w:cs="Arial"/>
          <w:b/>
          <w:bCs/>
          <w:sz w:val="30"/>
          <w:szCs w:val="24"/>
          <w:shd w:val="clear" w:color="auto" w:fill="FFFFFF"/>
        </w:rPr>
      </w:pPr>
      <w:r w:rsidRPr="0020032A">
        <w:rPr>
          <w:rFonts w:cs="Arial"/>
          <w:b/>
          <w:bCs/>
          <w:sz w:val="30"/>
          <w:szCs w:val="24"/>
          <w:shd w:val="clear" w:color="auto" w:fill="FFFFFF"/>
        </w:rPr>
        <w:lastRenderedPageBreak/>
        <w:t>CITATIONS:</w:t>
      </w:r>
    </w:p>
    <w:p w:rsidR="00537DE8" w:rsidRPr="0020032A" w:rsidRDefault="0020032A">
      <w:pPr>
        <w:rPr>
          <w:rFonts w:cs="Arial"/>
          <w:sz w:val="24"/>
          <w:szCs w:val="24"/>
        </w:rPr>
      </w:pPr>
      <w:r w:rsidRPr="0020032A">
        <w:rPr>
          <w:rFonts w:cs="Arial"/>
          <w:sz w:val="24"/>
          <w:szCs w:val="24"/>
        </w:rPr>
        <w:t xml:space="preserve">Link to overview and history, Online, </w:t>
      </w:r>
      <w:hyperlink r:id="rId17" w:history="1">
        <w:r w:rsidR="00537DE8" w:rsidRPr="0020032A">
          <w:rPr>
            <w:rStyle w:val="Hyperlink"/>
            <w:rFonts w:cs="Arial"/>
            <w:sz w:val="24"/>
            <w:szCs w:val="24"/>
          </w:rPr>
          <w:t>http://www.vault.com/industries-professions/industries/investment-management.aspx</w:t>
        </w:r>
      </w:hyperlink>
    </w:p>
    <w:p w:rsidR="00537DE8" w:rsidRPr="0020032A" w:rsidRDefault="0020032A">
      <w:pPr>
        <w:rPr>
          <w:rFonts w:cs="Arial"/>
          <w:sz w:val="24"/>
          <w:szCs w:val="24"/>
        </w:rPr>
      </w:pPr>
      <w:r w:rsidRPr="0020032A">
        <w:rPr>
          <w:rFonts w:cs="Arial"/>
          <w:sz w:val="24"/>
          <w:szCs w:val="24"/>
        </w:rPr>
        <w:t>Wikipedia</w:t>
      </w:r>
    </w:p>
    <w:p w:rsidR="0020032A" w:rsidRPr="0020032A" w:rsidRDefault="0020032A">
      <w:pPr>
        <w:rPr>
          <w:rFonts w:cs="Arial"/>
          <w:sz w:val="24"/>
          <w:szCs w:val="24"/>
        </w:rPr>
      </w:pPr>
      <w:r w:rsidRPr="0020032A">
        <w:rPr>
          <w:rFonts w:cs="Arial"/>
          <w:sz w:val="24"/>
          <w:szCs w:val="24"/>
        </w:rPr>
        <w:t>Tracking the Activity of Sovereign Wealth Funds, Pensions and other public funds, Online, http://www.swfinstitute.org/fund-rankings/</w:t>
      </w:r>
    </w:p>
    <w:sectPr w:rsidR="0020032A" w:rsidRPr="0020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6277"/>
    <w:multiLevelType w:val="multilevel"/>
    <w:tmpl w:val="604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BB"/>
    <w:rsid w:val="000511DF"/>
    <w:rsid w:val="000C69F4"/>
    <w:rsid w:val="00101F73"/>
    <w:rsid w:val="001526E8"/>
    <w:rsid w:val="0020032A"/>
    <w:rsid w:val="00217637"/>
    <w:rsid w:val="002457E0"/>
    <w:rsid w:val="00250239"/>
    <w:rsid w:val="002B6518"/>
    <w:rsid w:val="002E7904"/>
    <w:rsid w:val="002F556C"/>
    <w:rsid w:val="003145A5"/>
    <w:rsid w:val="00350ADE"/>
    <w:rsid w:val="0036434A"/>
    <w:rsid w:val="003C6D1D"/>
    <w:rsid w:val="004049BC"/>
    <w:rsid w:val="0048021F"/>
    <w:rsid w:val="0049095F"/>
    <w:rsid w:val="00513426"/>
    <w:rsid w:val="00537DE8"/>
    <w:rsid w:val="00605F1B"/>
    <w:rsid w:val="006205E1"/>
    <w:rsid w:val="00666DA6"/>
    <w:rsid w:val="00686B1E"/>
    <w:rsid w:val="006B22F4"/>
    <w:rsid w:val="00720B37"/>
    <w:rsid w:val="007832BA"/>
    <w:rsid w:val="007E0AAC"/>
    <w:rsid w:val="007E3625"/>
    <w:rsid w:val="008116C7"/>
    <w:rsid w:val="00865F81"/>
    <w:rsid w:val="008E4527"/>
    <w:rsid w:val="008F6D9F"/>
    <w:rsid w:val="00954A4D"/>
    <w:rsid w:val="009D4108"/>
    <w:rsid w:val="00A0095C"/>
    <w:rsid w:val="00A00D79"/>
    <w:rsid w:val="00A6283C"/>
    <w:rsid w:val="00A70B8E"/>
    <w:rsid w:val="00A80533"/>
    <w:rsid w:val="00AB2FCE"/>
    <w:rsid w:val="00B13BA4"/>
    <w:rsid w:val="00B331CC"/>
    <w:rsid w:val="00C0745B"/>
    <w:rsid w:val="00C25AF9"/>
    <w:rsid w:val="00CB5803"/>
    <w:rsid w:val="00CD1319"/>
    <w:rsid w:val="00CD1897"/>
    <w:rsid w:val="00CE67EB"/>
    <w:rsid w:val="00D20A8B"/>
    <w:rsid w:val="00DD0D4B"/>
    <w:rsid w:val="00DE5937"/>
    <w:rsid w:val="00E00473"/>
    <w:rsid w:val="00E528BB"/>
    <w:rsid w:val="00EA4508"/>
    <w:rsid w:val="00EC51AA"/>
    <w:rsid w:val="00F02CD5"/>
    <w:rsid w:val="00F27961"/>
    <w:rsid w:val="00FE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A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20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0A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DE8"/>
    <w:rPr>
      <w:color w:val="0563C1" w:themeColor="hyperlink"/>
      <w:u w:val="single"/>
    </w:rPr>
  </w:style>
  <w:style w:type="character" w:customStyle="1" w:styleId="Heading2Char">
    <w:name w:val="Heading 2 Char"/>
    <w:basedOn w:val="DefaultParagraphFont"/>
    <w:link w:val="Heading2"/>
    <w:uiPriority w:val="9"/>
    <w:rsid w:val="00D20A8B"/>
    <w:rPr>
      <w:rFonts w:ascii="Times New Roman" w:eastAsia="Times New Roman" w:hAnsi="Times New Roman" w:cs="Times New Roman"/>
      <w:b/>
      <w:bCs/>
      <w:sz w:val="36"/>
      <w:szCs w:val="36"/>
    </w:rPr>
  </w:style>
  <w:style w:type="character" w:styleId="Emphasis">
    <w:name w:val="Emphasis"/>
    <w:basedOn w:val="DefaultParagraphFont"/>
    <w:uiPriority w:val="20"/>
    <w:qFormat/>
    <w:rsid w:val="00D20A8B"/>
    <w:rPr>
      <w:i/>
      <w:iCs/>
    </w:rPr>
  </w:style>
  <w:style w:type="character" w:customStyle="1" w:styleId="apple-converted-space">
    <w:name w:val="apple-converted-space"/>
    <w:basedOn w:val="DefaultParagraphFont"/>
    <w:rsid w:val="00D20A8B"/>
  </w:style>
  <w:style w:type="character" w:styleId="Strong">
    <w:name w:val="Strong"/>
    <w:basedOn w:val="DefaultParagraphFont"/>
    <w:uiPriority w:val="22"/>
    <w:qFormat/>
    <w:rsid w:val="004049BC"/>
    <w:rPr>
      <w:b/>
      <w:bCs/>
    </w:rPr>
  </w:style>
  <w:style w:type="character" w:customStyle="1" w:styleId="Heading3Char">
    <w:name w:val="Heading 3 Char"/>
    <w:basedOn w:val="DefaultParagraphFont"/>
    <w:link w:val="Heading3"/>
    <w:uiPriority w:val="9"/>
    <w:semiHidden/>
    <w:rsid w:val="00350ADE"/>
    <w:rPr>
      <w:rFonts w:asciiTheme="majorHAnsi" w:eastAsiaTheme="majorEastAsia" w:hAnsiTheme="majorHAnsi" w:cstheme="majorBidi"/>
      <w:b/>
      <w:bCs/>
      <w:color w:val="5B9BD5" w:themeColor="accent1"/>
    </w:rPr>
  </w:style>
  <w:style w:type="character" w:customStyle="1" w:styleId="mw-headline">
    <w:name w:val="mw-headline"/>
    <w:basedOn w:val="DefaultParagraphFont"/>
    <w:rsid w:val="00350ADE"/>
  </w:style>
  <w:style w:type="character" w:customStyle="1" w:styleId="mw-editsection">
    <w:name w:val="mw-editsection"/>
    <w:basedOn w:val="DefaultParagraphFont"/>
    <w:rsid w:val="00350ADE"/>
  </w:style>
  <w:style w:type="character" w:customStyle="1" w:styleId="mw-editsection-bracket">
    <w:name w:val="mw-editsection-bracket"/>
    <w:basedOn w:val="DefaultParagraphFont"/>
    <w:rsid w:val="00350ADE"/>
  </w:style>
  <w:style w:type="character" w:customStyle="1" w:styleId="Heading1Char">
    <w:name w:val="Heading 1 Char"/>
    <w:basedOn w:val="DefaultParagraphFont"/>
    <w:link w:val="Heading1"/>
    <w:uiPriority w:val="9"/>
    <w:rsid w:val="00350ADE"/>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5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A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20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0A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DE8"/>
    <w:rPr>
      <w:color w:val="0563C1" w:themeColor="hyperlink"/>
      <w:u w:val="single"/>
    </w:rPr>
  </w:style>
  <w:style w:type="character" w:customStyle="1" w:styleId="Heading2Char">
    <w:name w:val="Heading 2 Char"/>
    <w:basedOn w:val="DefaultParagraphFont"/>
    <w:link w:val="Heading2"/>
    <w:uiPriority w:val="9"/>
    <w:rsid w:val="00D20A8B"/>
    <w:rPr>
      <w:rFonts w:ascii="Times New Roman" w:eastAsia="Times New Roman" w:hAnsi="Times New Roman" w:cs="Times New Roman"/>
      <w:b/>
      <w:bCs/>
      <w:sz w:val="36"/>
      <w:szCs w:val="36"/>
    </w:rPr>
  </w:style>
  <w:style w:type="character" w:styleId="Emphasis">
    <w:name w:val="Emphasis"/>
    <w:basedOn w:val="DefaultParagraphFont"/>
    <w:uiPriority w:val="20"/>
    <w:qFormat/>
    <w:rsid w:val="00D20A8B"/>
    <w:rPr>
      <w:i/>
      <w:iCs/>
    </w:rPr>
  </w:style>
  <w:style w:type="character" w:customStyle="1" w:styleId="apple-converted-space">
    <w:name w:val="apple-converted-space"/>
    <w:basedOn w:val="DefaultParagraphFont"/>
    <w:rsid w:val="00D20A8B"/>
  </w:style>
  <w:style w:type="character" w:styleId="Strong">
    <w:name w:val="Strong"/>
    <w:basedOn w:val="DefaultParagraphFont"/>
    <w:uiPriority w:val="22"/>
    <w:qFormat/>
    <w:rsid w:val="004049BC"/>
    <w:rPr>
      <w:b/>
      <w:bCs/>
    </w:rPr>
  </w:style>
  <w:style w:type="character" w:customStyle="1" w:styleId="Heading3Char">
    <w:name w:val="Heading 3 Char"/>
    <w:basedOn w:val="DefaultParagraphFont"/>
    <w:link w:val="Heading3"/>
    <w:uiPriority w:val="9"/>
    <w:semiHidden/>
    <w:rsid w:val="00350ADE"/>
    <w:rPr>
      <w:rFonts w:asciiTheme="majorHAnsi" w:eastAsiaTheme="majorEastAsia" w:hAnsiTheme="majorHAnsi" w:cstheme="majorBidi"/>
      <w:b/>
      <w:bCs/>
      <w:color w:val="5B9BD5" w:themeColor="accent1"/>
    </w:rPr>
  </w:style>
  <w:style w:type="character" w:customStyle="1" w:styleId="mw-headline">
    <w:name w:val="mw-headline"/>
    <w:basedOn w:val="DefaultParagraphFont"/>
    <w:rsid w:val="00350ADE"/>
  </w:style>
  <w:style w:type="character" w:customStyle="1" w:styleId="mw-editsection">
    <w:name w:val="mw-editsection"/>
    <w:basedOn w:val="DefaultParagraphFont"/>
    <w:rsid w:val="00350ADE"/>
  </w:style>
  <w:style w:type="character" w:customStyle="1" w:styleId="mw-editsection-bracket">
    <w:name w:val="mw-editsection-bracket"/>
    <w:basedOn w:val="DefaultParagraphFont"/>
    <w:rsid w:val="00350ADE"/>
  </w:style>
  <w:style w:type="character" w:customStyle="1" w:styleId="Heading1Char">
    <w:name w:val="Heading 1 Char"/>
    <w:basedOn w:val="DefaultParagraphFont"/>
    <w:link w:val="Heading1"/>
    <w:uiPriority w:val="9"/>
    <w:rsid w:val="00350ADE"/>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5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10631">
      <w:bodyDiv w:val="1"/>
      <w:marLeft w:val="0"/>
      <w:marRight w:val="0"/>
      <w:marTop w:val="0"/>
      <w:marBottom w:val="0"/>
      <w:divBdr>
        <w:top w:val="none" w:sz="0" w:space="0" w:color="auto"/>
        <w:left w:val="none" w:sz="0" w:space="0" w:color="auto"/>
        <w:bottom w:val="none" w:sz="0" w:space="0" w:color="auto"/>
        <w:right w:val="none" w:sz="0" w:space="0" w:color="auto"/>
      </w:divBdr>
    </w:div>
    <w:div w:id="593515173">
      <w:bodyDiv w:val="1"/>
      <w:marLeft w:val="0"/>
      <w:marRight w:val="0"/>
      <w:marTop w:val="0"/>
      <w:marBottom w:val="0"/>
      <w:divBdr>
        <w:top w:val="none" w:sz="0" w:space="0" w:color="auto"/>
        <w:left w:val="none" w:sz="0" w:space="0" w:color="auto"/>
        <w:bottom w:val="none" w:sz="0" w:space="0" w:color="auto"/>
        <w:right w:val="none" w:sz="0" w:space="0" w:color="auto"/>
      </w:divBdr>
    </w:div>
    <w:div w:id="615327751">
      <w:bodyDiv w:val="1"/>
      <w:marLeft w:val="0"/>
      <w:marRight w:val="0"/>
      <w:marTop w:val="0"/>
      <w:marBottom w:val="0"/>
      <w:divBdr>
        <w:top w:val="none" w:sz="0" w:space="0" w:color="auto"/>
        <w:left w:val="none" w:sz="0" w:space="0" w:color="auto"/>
        <w:bottom w:val="none" w:sz="0" w:space="0" w:color="auto"/>
        <w:right w:val="none" w:sz="0" w:space="0" w:color="auto"/>
      </w:divBdr>
    </w:div>
    <w:div w:id="907963265">
      <w:bodyDiv w:val="1"/>
      <w:marLeft w:val="0"/>
      <w:marRight w:val="0"/>
      <w:marTop w:val="0"/>
      <w:marBottom w:val="0"/>
      <w:divBdr>
        <w:top w:val="none" w:sz="0" w:space="0" w:color="auto"/>
        <w:left w:val="none" w:sz="0" w:space="0" w:color="auto"/>
        <w:bottom w:val="none" w:sz="0" w:space="0" w:color="auto"/>
        <w:right w:val="none" w:sz="0" w:space="0" w:color="auto"/>
      </w:divBdr>
    </w:div>
    <w:div w:id="939262098">
      <w:bodyDiv w:val="1"/>
      <w:marLeft w:val="0"/>
      <w:marRight w:val="0"/>
      <w:marTop w:val="0"/>
      <w:marBottom w:val="0"/>
      <w:divBdr>
        <w:top w:val="none" w:sz="0" w:space="0" w:color="auto"/>
        <w:left w:val="none" w:sz="0" w:space="0" w:color="auto"/>
        <w:bottom w:val="none" w:sz="0" w:space="0" w:color="auto"/>
        <w:right w:val="none" w:sz="0" w:space="0" w:color="auto"/>
      </w:divBdr>
    </w:div>
    <w:div w:id="1008143927">
      <w:bodyDiv w:val="1"/>
      <w:marLeft w:val="0"/>
      <w:marRight w:val="0"/>
      <w:marTop w:val="0"/>
      <w:marBottom w:val="0"/>
      <w:divBdr>
        <w:top w:val="none" w:sz="0" w:space="0" w:color="auto"/>
        <w:left w:val="none" w:sz="0" w:space="0" w:color="auto"/>
        <w:bottom w:val="none" w:sz="0" w:space="0" w:color="auto"/>
        <w:right w:val="none" w:sz="0" w:space="0" w:color="auto"/>
      </w:divBdr>
    </w:div>
    <w:div w:id="1485858295">
      <w:bodyDiv w:val="1"/>
      <w:marLeft w:val="0"/>
      <w:marRight w:val="0"/>
      <w:marTop w:val="0"/>
      <w:marBottom w:val="0"/>
      <w:divBdr>
        <w:top w:val="none" w:sz="0" w:space="0" w:color="auto"/>
        <w:left w:val="none" w:sz="0" w:space="0" w:color="auto"/>
        <w:bottom w:val="none" w:sz="0" w:space="0" w:color="auto"/>
        <w:right w:val="none" w:sz="0" w:space="0" w:color="auto"/>
      </w:divBdr>
    </w:div>
    <w:div w:id="1748654196">
      <w:bodyDiv w:val="1"/>
      <w:marLeft w:val="0"/>
      <w:marRight w:val="0"/>
      <w:marTop w:val="0"/>
      <w:marBottom w:val="0"/>
      <w:divBdr>
        <w:top w:val="none" w:sz="0" w:space="0" w:color="auto"/>
        <w:left w:val="none" w:sz="0" w:space="0" w:color="auto"/>
        <w:bottom w:val="none" w:sz="0" w:space="0" w:color="auto"/>
        <w:right w:val="none" w:sz="0" w:space="0" w:color="auto"/>
      </w:divBdr>
    </w:div>
    <w:div w:id="17836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Kiribati" TargetMode="External"/><Relationship Id="rId12" Type="http://schemas.openxmlformats.org/officeDocument/2006/relationships/hyperlink" Target="https://en.wikipedia.org/wiki/Phosphates" TargetMode="External"/><Relationship Id="rId13" Type="http://schemas.openxmlformats.org/officeDocument/2006/relationships/hyperlink" Target="https://en.wikipedia.org/wiki/Fertilizer" TargetMode="External"/><Relationship Id="rId14" Type="http://schemas.openxmlformats.org/officeDocument/2006/relationships/hyperlink" Target="https://en.wikipedia.org/wiki/Gilbert_Islands" TargetMode="External"/><Relationship Id="rId15" Type="http://schemas.openxmlformats.org/officeDocument/2006/relationships/hyperlink" Target="https://en.wikipedia.org/wiki/Micronesia" TargetMode="External"/><Relationship Id="rId16" Type="http://schemas.openxmlformats.org/officeDocument/2006/relationships/chart" Target="charts/chart1.xml"/><Relationship Id="rId17" Type="http://schemas.openxmlformats.org/officeDocument/2006/relationships/hyperlink" Target="http://www.vault.com/industries-professions/industries/investment-management.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Texas" TargetMode="External"/><Relationship Id="rId7" Type="http://schemas.openxmlformats.org/officeDocument/2006/relationships/hyperlink" Target="https://en.wikipedia.org/wiki/Permanent_School_Fund" TargetMode="External"/><Relationship Id="rId8" Type="http://schemas.openxmlformats.org/officeDocument/2006/relationships/hyperlink" Target="https://en.wikipedia.org/wiki/Permanent_University_Fund" TargetMode="External"/><Relationship Id="rId9" Type="http://schemas.openxmlformats.org/officeDocument/2006/relationships/hyperlink" Target="https://en.wikipedia.org/wiki/Republic_of_Texas" TargetMode="External"/><Relationship Id="rId10" Type="http://schemas.openxmlformats.org/officeDocument/2006/relationships/hyperlink" Target="https://en.wikipedia.org/wiki/Revenue_Equalization_Reserve_Fun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0943484993246137"/>
          <c:y val="0.0196776103517301"/>
          <c:w val="0.783132547762073"/>
          <c:h val="0.80712859532401"/>
        </c:manualLayout>
      </c:layout>
      <c:barChart>
        <c:barDir val="col"/>
        <c:grouping val="clustered"/>
        <c:varyColors val="0"/>
        <c:ser>
          <c:idx val="0"/>
          <c:order val="0"/>
          <c:tx>
            <c:strRef>
              <c:f>'[Book1]Sheet1 (2)'!$E$1</c:f>
              <c:strCache>
                <c:ptCount val="1"/>
                <c:pt idx="0">
                  <c:v>Jun-15</c:v>
                </c:pt>
              </c:strCache>
            </c:strRef>
          </c:tx>
          <c:invertIfNegative val="0"/>
          <c:cat>
            <c:multiLvlStrRef>
              <c:f>'[Book1]Sheet1 (2)'!$A$2:$D$11</c:f>
              <c:multiLvlStrCache>
                <c:ptCount val="10"/>
                <c:lvl>
                  <c:pt idx="0">
                    <c:v>SSTF</c:v>
                  </c:pt>
                  <c:pt idx="1">
                    <c:v>GPIF</c:v>
                  </c:pt>
                  <c:pt idx="2">
                    <c:v>GPFG</c:v>
                  </c:pt>
                  <c:pt idx="3">
                    <c:v>ADIA</c:v>
                  </c:pt>
                  <c:pt idx="4">
                    <c:v>CIC</c:v>
                  </c:pt>
                  <c:pt idx="5">
                    <c:v>SAMA</c:v>
                  </c:pt>
                  <c:pt idx="6">
                    <c:v>KIA</c:v>
                  </c:pt>
                  <c:pt idx="7">
                    <c:v>SAFE</c:v>
                  </c:pt>
                  <c:pt idx="8">
                    <c:v>NPSF Korea</c:v>
                  </c:pt>
                  <c:pt idx="9">
                    <c:v>ABP</c:v>
                  </c:pt>
                </c:lvl>
                <c:lvl>
                  <c:pt idx="0">
                    <c:v>1</c:v>
                  </c:pt>
                  <c:pt idx="1">
                    <c:v>2</c:v>
                  </c:pt>
                  <c:pt idx="2">
                    <c:v>3</c:v>
                  </c:pt>
                  <c:pt idx="3">
                    <c:v>4</c:v>
                  </c:pt>
                  <c:pt idx="4">
                    <c:v>5</c:v>
                  </c:pt>
                  <c:pt idx="5">
                    <c:v>6</c:v>
                  </c:pt>
                  <c:pt idx="6">
                    <c:v>7</c:v>
                  </c:pt>
                  <c:pt idx="7">
                    <c:v>8</c:v>
                  </c:pt>
                  <c:pt idx="8">
                    <c:v>9</c:v>
                  </c:pt>
                  <c:pt idx="9">
                    <c:v>10</c:v>
                  </c:pt>
                </c:lvl>
              </c:multiLvlStrCache>
            </c:multiLvlStrRef>
          </c:cat>
          <c:val>
            <c:numRef>
              <c:f>'[Book1]Sheet1 (2)'!$E$2:$E$11</c:f>
              <c:numCache>
                <c:formatCode>_(* #,##0.00_);_(* \(#,##0.00\);_(* "-"??_);_(@_)</c:formatCode>
                <c:ptCount val="10"/>
                <c:pt idx="0">
                  <c:v>2789.5</c:v>
                </c:pt>
                <c:pt idx="1">
                  <c:v>1150.0</c:v>
                </c:pt>
                <c:pt idx="2">
                  <c:v>882.0</c:v>
                </c:pt>
                <c:pt idx="3">
                  <c:v>773.0</c:v>
                </c:pt>
                <c:pt idx="4">
                  <c:v>746.7</c:v>
                </c:pt>
                <c:pt idx="5">
                  <c:v>671.8</c:v>
                </c:pt>
                <c:pt idx="6">
                  <c:v>592.0</c:v>
                </c:pt>
                <c:pt idx="7">
                  <c:v>567.9</c:v>
                </c:pt>
                <c:pt idx="8">
                  <c:v>455.0</c:v>
                </c:pt>
                <c:pt idx="9">
                  <c:v>440.0</c:v>
                </c:pt>
              </c:numCache>
            </c:numRef>
          </c:val>
        </c:ser>
        <c:dLbls>
          <c:showLegendKey val="0"/>
          <c:showVal val="0"/>
          <c:showCatName val="0"/>
          <c:showSerName val="0"/>
          <c:showPercent val="0"/>
          <c:showBubbleSize val="0"/>
        </c:dLbls>
        <c:gapWidth val="150"/>
        <c:axId val="2103400008"/>
        <c:axId val="2100412840"/>
      </c:barChart>
      <c:catAx>
        <c:axId val="2103400008"/>
        <c:scaling>
          <c:orientation val="minMax"/>
        </c:scaling>
        <c:delete val="0"/>
        <c:axPos val="b"/>
        <c:numFmt formatCode="mmm\-yy" sourceLinked="1"/>
        <c:majorTickMark val="out"/>
        <c:minorTickMark val="none"/>
        <c:tickLblPos val="nextTo"/>
        <c:crossAx val="2100412840"/>
        <c:crosses val="autoZero"/>
        <c:auto val="1"/>
        <c:lblAlgn val="ctr"/>
        <c:lblOffset val="100"/>
        <c:noMultiLvlLbl val="1"/>
      </c:catAx>
      <c:valAx>
        <c:axId val="2100412840"/>
        <c:scaling>
          <c:orientation val="minMax"/>
        </c:scaling>
        <c:delete val="0"/>
        <c:axPos val="l"/>
        <c:majorGridlines/>
        <c:numFmt formatCode="_(* #,##0.00_);_(* \(#,##0.00\);_(* &quot;-&quot;??_);_(@_)" sourceLinked="1"/>
        <c:majorTickMark val="out"/>
        <c:minorTickMark val="none"/>
        <c:tickLblPos val="nextTo"/>
        <c:crossAx val="2103400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1373</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alnuaimi</cp:lastModifiedBy>
  <cp:revision>2</cp:revision>
  <cp:lastPrinted>2015-10-22T22:31:00Z</cp:lastPrinted>
  <dcterms:created xsi:type="dcterms:W3CDTF">2015-12-04T03:59:00Z</dcterms:created>
  <dcterms:modified xsi:type="dcterms:W3CDTF">2015-12-04T03:59:00Z</dcterms:modified>
</cp:coreProperties>
</file>