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8748"/>
      </w:tblGrid>
      <w:tr w:rsidR="003153B8" w:rsidTr="00E74A81">
        <w:trPr>
          <w:trHeight w:val="12283"/>
          <w:jc w:val="center"/>
        </w:trPr>
        <w:tc>
          <w:tcPr>
            <w:tcW w:w="8748" w:type="dxa"/>
          </w:tcPr>
          <w:p w:rsidR="003153B8" w:rsidRDefault="003153B8" w:rsidP="00E74A8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Pr="00745D4A" w:rsidRDefault="003153B8" w:rsidP="00E74A81">
            <w:pPr>
              <w:pStyle w:val="Heading3"/>
              <w:ind w:left="2040" w:hanging="1440"/>
              <w:jc w:val="center"/>
              <w:textAlignment w:val="top"/>
              <w:rPr>
                <w:rFonts w:asciiTheme="majorHAnsi" w:eastAsiaTheme="majorHAnsi" w:hAnsiTheme="majorHAnsi" w:cs="Arial"/>
                <w:color w:val="000000"/>
                <w:sz w:val="72"/>
                <w:szCs w:val="72"/>
              </w:rPr>
            </w:pPr>
            <w:r w:rsidRPr="00745D4A">
              <w:rPr>
                <w:rFonts w:asciiTheme="majorHAnsi" w:eastAsiaTheme="majorHAnsi" w:hAnsiTheme="majorHAnsi" w:cs="Arial" w:hint="eastAsia"/>
                <w:color w:val="000000"/>
                <w:sz w:val="72"/>
                <w:szCs w:val="72"/>
              </w:rPr>
              <w:t>Analysis Report</w:t>
            </w:r>
          </w:p>
          <w:p w:rsidR="003153B8" w:rsidRDefault="003153B8" w:rsidP="00E74A81">
            <w:pPr>
              <w:pStyle w:val="Heading3"/>
              <w:ind w:left="1480" w:hanging="880"/>
              <w:jc w:val="center"/>
              <w:textAlignment w:val="top"/>
              <w:rPr>
                <w:rFonts w:asciiTheme="majorHAnsi" w:eastAsiaTheme="majorHAnsi" w:hAnsiTheme="majorHAnsi" w:cs="Arial" w:hint="eastAsia"/>
                <w:color w:val="000000"/>
                <w:sz w:val="44"/>
                <w:szCs w:val="44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 w:val="44"/>
                <w:szCs w:val="44"/>
              </w:rPr>
              <w:t>Adjusted P/E and Stock Return</w:t>
            </w:r>
          </w:p>
          <w:p w:rsidR="003153B8" w:rsidRPr="003A06A6" w:rsidRDefault="003153B8" w:rsidP="00E74A81">
            <w:pPr>
              <w:pStyle w:val="Heading3"/>
              <w:ind w:left="1480" w:hanging="880"/>
              <w:jc w:val="center"/>
              <w:textAlignment w:val="top"/>
              <w:rPr>
                <w:rFonts w:asciiTheme="majorHAnsi" w:eastAsiaTheme="majorHAnsi" w:hAnsiTheme="majorHAnsi" w:cs="Arial"/>
                <w:color w:val="000000"/>
                <w:sz w:val="44"/>
                <w:szCs w:val="44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 w:val="44"/>
                <w:szCs w:val="44"/>
              </w:rPr>
              <w:t>(03/21/2009 ~ 03/20/2010)</w:t>
            </w:r>
          </w:p>
          <w:p w:rsidR="003153B8" w:rsidRDefault="003153B8" w:rsidP="00E74A81">
            <w:pPr>
              <w:pStyle w:val="Heading3"/>
              <w:ind w:left="1320" w:hanging="720"/>
              <w:textAlignment w:val="top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Default="003153B8" w:rsidP="00E74A81">
            <w:pPr>
              <w:pStyle w:val="Heading3"/>
              <w:ind w:left="1320" w:hanging="720"/>
              <w:textAlignment w:val="top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Default="003153B8" w:rsidP="00E74A81">
            <w:pPr>
              <w:pStyle w:val="Heading3"/>
              <w:ind w:left="1320" w:hanging="720"/>
              <w:textAlignment w:val="top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Default="003153B8" w:rsidP="00E74A81">
            <w:pPr>
              <w:pStyle w:val="Heading3"/>
              <w:ind w:left="1320" w:hanging="720"/>
              <w:textAlignment w:val="top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Default="003153B8" w:rsidP="00E74A81">
            <w:pPr>
              <w:pStyle w:val="Heading3"/>
              <w:ind w:left="1320" w:hanging="720"/>
              <w:textAlignment w:val="top"/>
              <w:rPr>
                <w:rFonts w:asciiTheme="majorHAnsi" w:eastAsiaTheme="majorHAnsi" w:hAnsiTheme="majorHAnsi" w:cs="Arial"/>
                <w:color w:val="000000"/>
                <w:sz w:val="36"/>
                <w:szCs w:val="36"/>
              </w:rPr>
            </w:pPr>
          </w:p>
          <w:p w:rsidR="003153B8" w:rsidRPr="003A06A6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Questions about this report should be directed to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153B8" w:rsidRPr="003A06A6" w:rsidRDefault="003153B8" w:rsidP="00E74A81">
            <w:pPr>
              <w:widowControl/>
              <w:wordWrap/>
              <w:autoSpaceDE/>
              <w:autoSpaceDN/>
              <w:spacing w:line="276" w:lineRule="auto"/>
              <w:ind w:right="20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hyperlink r:id="rId4" w:history="1">
              <w:r w:rsidRPr="003A06A6">
                <w:rPr>
                  <w:rFonts w:ascii="Arial" w:eastAsia="굴림" w:hAnsi="Arial" w:hint="eastAsia"/>
                  <w:color w:val="000000"/>
                  <w:kern w:val="0"/>
                  <w:sz w:val="28"/>
                  <w:szCs w:val="28"/>
                </w:rPr>
                <w:t>kim813@illinois.edu</w:t>
              </w:r>
            </w:hyperlink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 / </w:t>
            </w:r>
            <w:hyperlink r:id="rId5" w:history="1">
              <w:r w:rsidRPr="003A06A6">
                <w:rPr>
                  <w:rFonts w:ascii="Arial" w:eastAsia="굴림" w:hAnsi="Arial" w:hint="eastAsia"/>
                  <w:color w:val="000000"/>
                  <w:kern w:val="0"/>
                  <w:sz w:val="28"/>
                  <w:szCs w:val="28"/>
                </w:rPr>
                <w:t>hjkim@alumni.utoronto.ca</w:t>
              </w:r>
            </w:hyperlink>
            <w:r>
              <w:rPr>
                <w:rFonts w:hint="eastAsia"/>
              </w:rPr>
              <w:t xml:space="preserve"> </w:t>
            </w:r>
          </w:p>
          <w:p w:rsidR="003153B8" w:rsidRPr="003A06A6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Phone: (217) 778 </w:t>
            </w:r>
            <w:r w:rsidRPr="003A06A6"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  <w:t>–</w:t>
            </w: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 3616</w:t>
            </w:r>
          </w:p>
          <w:p w:rsidR="003153B8" w:rsidRPr="003A06A6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401 East Chalmers St. #321</w:t>
            </w:r>
          </w:p>
          <w:p w:rsidR="003153B8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3A06A6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Champaign IL 61820 USA</w:t>
            </w:r>
          </w:p>
          <w:p w:rsidR="003153B8" w:rsidRPr="003A06A6" w:rsidRDefault="003153B8" w:rsidP="00E74A81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</w:p>
          <w:p w:rsidR="003153B8" w:rsidRPr="00745D4A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745D4A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*Copyright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45D4A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2009 By Hyun Jun Kim</w:t>
            </w:r>
          </w:p>
          <w:p w:rsidR="003153B8" w:rsidRPr="00063073" w:rsidRDefault="003153B8" w:rsidP="00E74A81">
            <w:pPr>
              <w:widowControl/>
              <w:wordWrap/>
              <w:autoSpaceDE/>
              <w:autoSpaceDN/>
              <w:spacing w:line="276" w:lineRule="auto"/>
              <w:ind w:right="280"/>
              <w:jc w:val="right"/>
              <w:rPr>
                <w:rFonts w:ascii="Arial" w:eastAsia="굴림" w:hAnsi="Arial" w:cs="Arial"/>
                <w:color w:val="000000"/>
                <w:kern w:val="0"/>
                <w:sz w:val="28"/>
                <w:szCs w:val="28"/>
              </w:rPr>
            </w:pPr>
            <w:r w:rsidRPr="00745D4A"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All Rights Reserve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</w:tr>
    </w:tbl>
    <w:p w:rsidR="003153B8" w:rsidRDefault="003153B8">
      <w:pPr>
        <w:widowControl/>
        <w:wordWrap/>
        <w:autoSpaceDE/>
        <w:autoSpaceDN/>
        <w:jc w:val="left"/>
      </w:pPr>
      <w:r>
        <w:br w:type="page"/>
      </w:r>
    </w:p>
    <w:p w:rsidR="00B52362" w:rsidRDefault="00B52362" w:rsidP="00B52362">
      <w:pPr>
        <w:rPr>
          <w:rFonts w:hint="eastAsia"/>
        </w:rPr>
      </w:pPr>
      <w:r>
        <w:rPr>
          <w:rFonts w:hint="eastAsia"/>
        </w:rPr>
        <w:lastRenderedPageBreak/>
        <w:t xml:space="preserve">By Hyun Jun Kim, </w:t>
      </w:r>
      <w:hyperlink r:id="rId6" w:history="1">
        <w:r w:rsidRPr="00D41FEF">
          <w:rPr>
            <w:rStyle w:val="Hyperlink"/>
            <w:rFonts w:hint="eastAsia"/>
          </w:rPr>
          <w:t>kim813@illinois.edu</w:t>
        </w:r>
      </w:hyperlink>
      <w:r>
        <w:rPr>
          <w:rFonts w:hint="eastAsia"/>
        </w:rPr>
        <w:t>, (217) 778-3616</w:t>
      </w:r>
    </w:p>
    <w:p w:rsidR="00B52362" w:rsidRDefault="00B52362">
      <w:pPr>
        <w:rPr>
          <w:rFonts w:hint="eastAsia"/>
          <w:b/>
          <w:sz w:val="28"/>
          <w:szCs w:val="28"/>
        </w:rPr>
      </w:pPr>
    </w:p>
    <w:p w:rsidR="00A667E8" w:rsidRPr="00A667E8" w:rsidRDefault="00A667E8">
      <w:pPr>
        <w:rPr>
          <w:rFonts w:hint="eastAsia"/>
          <w:b/>
          <w:sz w:val="28"/>
          <w:szCs w:val="28"/>
        </w:rPr>
      </w:pPr>
      <w:r w:rsidRPr="00A667E8">
        <w:rPr>
          <w:rFonts w:hint="eastAsia"/>
          <w:b/>
          <w:sz w:val="28"/>
          <w:szCs w:val="28"/>
        </w:rPr>
        <w:t>The Purpose of Research</w:t>
      </w:r>
    </w:p>
    <w:p w:rsidR="00A667E8" w:rsidRDefault="00A667E8">
      <w:pPr>
        <w:rPr>
          <w:rFonts w:hint="eastAsia"/>
        </w:rPr>
      </w:pPr>
      <w:r>
        <w:rPr>
          <w:rFonts w:hint="eastAsia"/>
        </w:rPr>
        <w:t xml:space="preserve">This research is intended to find out the relationship between adjusted P/E ratio and one-year stock return from </w:t>
      </w:r>
      <w:bookmarkStart w:id="0" w:name="OLE_LINK3"/>
      <w:bookmarkStart w:id="1" w:name="OLE_LINK4"/>
      <w:r>
        <w:rPr>
          <w:rFonts w:hint="eastAsia"/>
        </w:rPr>
        <w:t>03/21/2009 to 03/20/2010</w:t>
      </w:r>
      <w:bookmarkEnd w:id="0"/>
      <w:bookmarkEnd w:id="1"/>
      <w:r>
        <w:rPr>
          <w:rFonts w:hint="eastAsia"/>
        </w:rPr>
        <w:t>.  The adjusted P/E was defined as follows:</w:t>
      </w:r>
    </w:p>
    <w:p w:rsidR="00A667E8" w:rsidRDefault="00A667E8">
      <w:pPr>
        <w:rPr>
          <w:rFonts w:hint="eastAsia"/>
        </w:rPr>
      </w:pPr>
    </w:p>
    <w:p w:rsidR="00A667E8" w:rsidRDefault="00A667E8">
      <w:pPr>
        <w:rPr>
          <w:rFonts w:hint="eastAsia"/>
        </w:rPr>
      </w:pPr>
      <w:r>
        <w:rPr>
          <w:rFonts w:hint="eastAsia"/>
        </w:rPr>
        <w:t xml:space="preserve">Adjusted P/E 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Market Capitalization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 on 03/21/2009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 xml:space="preserve">3 year avg net income + 3 yr avg depreciation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–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 xml:space="preserve"> 3 yr avg CapEx</m:t>
            </m:r>
          </m:den>
        </m:f>
      </m:oMath>
    </w:p>
    <w:p w:rsidR="00A667E8" w:rsidRDefault="00A667E8">
      <w:pPr>
        <w:rPr>
          <w:rFonts w:hint="eastAsia"/>
        </w:rPr>
      </w:pPr>
    </w:p>
    <w:p w:rsidR="00B52362" w:rsidRDefault="00CC0E57">
      <w:pPr>
        <w:rPr>
          <w:rFonts w:hint="eastAsia"/>
        </w:rPr>
      </w:pPr>
      <w:r>
        <w:rPr>
          <w:rFonts w:hint="eastAsia"/>
        </w:rPr>
        <w:t xml:space="preserve">Note: 3 year </w:t>
      </w:r>
      <w:proofErr w:type="spellStart"/>
      <w:r>
        <w:rPr>
          <w:rFonts w:hint="eastAsia"/>
        </w:rPr>
        <w:t>avg</w:t>
      </w:r>
      <w:proofErr w:type="spellEnd"/>
      <w:r>
        <w:rPr>
          <w:rFonts w:hint="eastAsia"/>
        </w:rPr>
        <w:t xml:space="preserve"> used in the denominator are from 03/21/2006 to 03/21/2009.</w:t>
      </w:r>
    </w:p>
    <w:p w:rsidR="00B52362" w:rsidRPr="00CC0E57" w:rsidRDefault="00CC0E57">
      <w:pPr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Question: </w:t>
      </w:r>
      <w:r w:rsidR="00B52362" w:rsidRPr="00CC0E57">
        <w:rPr>
          <w:b/>
          <w:sz w:val="22"/>
          <w:u w:val="single"/>
        </w:rPr>
        <w:t>“</w:t>
      </w:r>
      <w:r w:rsidR="00B52362" w:rsidRPr="00CC0E57">
        <w:rPr>
          <w:rFonts w:hint="eastAsia"/>
          <w:b/>
          <w:sz w:val="22"/>
          <w:u w:val="single"/>
        </w:rPr>
        <w:t>What happened if you had bought stocks in the US exchange on 03/21/2009 based on the adjusted P/E?</w:t>
      </w:r>
      <w:r w:rsidR="00B52362" w:rsidRPr="00CC0E57">
        <w:rPr>
          <w:b/>
          <w:sz w:val="22"/>
          <w:u w:val="single"/>
        </w:rPr>
        <w:t>”</w:t>
      </w:r>
    </w:p>
    <w:p w:rsidR="00B52362" w:rsidRPr="00B52362" w:rsidRDefault="00B52362">
      <w:pPr>
        <w:rPr>
          <w:rFonts w:hint="eastAsia"/>
          <w:b/>
          <w:sz w:val="28"/>
          <w:szCs w:val="28"/>
        </w:rPr>
      </w:pPr>
    </w:p>
    <w:p w:rsidR="00137806" w:rsidRPr="00A667E8" w:rsidRDefault="00A667E8">
      <w:pPr>
        <w:rPr>
          <w:rFonts w:hint="eastAsia"/>
          <w:b/>
          <w:sz w:val="28"/>
          <w:szCs w:val="28"/>
        </w:rPr>
      </w:pPr>
      <w:r w:rsidRPr="00A667E8">
        <w:rPr>
          <w:rFonts w:hint="eastAsia"/>
          <w:b/>
          <w:sz w:val="28"/>
          <w:szCs w:val="28"/>
        </w:rPr>
        <w:t>Screening M</w:t>
      </w:r>
      <w:r w:rsidR="00137806" w:rsidRPr="00A667E8">
        <w:rPr>
          <w:rFonts w:hint="eastAsia"/>
          <w:b/>
          <w:sz w:val="28"/>
          <w:szCs w:val="28"/>
        </w:rPr>
        <w:t>ethod</w:t>
      </w:r>
    </w:p>
    <w:p w:rsidR="00137806" w:rsidRDefault="00137806">
      <w:pPr>
        <w:rPr>
          <w:rFonts w:hint="eastAsia"/>
        </w:rPr>
      </w:pPr>
      <w:r>
        <w:rPr>
          <w:rFonts w:hint="eastAsia"/>
        </w:rPr>
        <w:t xml:space="preserve">Step 1: </w:t>
      </w:r>
      <w:r w:rsidR="00A667E8">
        <w:rPr>
          <w:rFonts w:hint="eastAsia"/>
        </w:rPr>
        <w:t>Companies in m</w:t>
      </w:r>
      <w:r>
        <w:rPr>
          <w:rFonts w:hint="eastAsia"/>
        </w:rPr>
        <w:t>ajor US Exchanges</w:t>
      </w:r>
    </w:p>
    <w:p w:rsidR="00137806" w:rsidRDefault="00137806" w:rsidP="00137806">
      <w:pPr>
        <w:rPr>
          <w:rFonts w:hint="eastAsia"/>
        </w:rPr>
      </w:pPr>
      <w:r>
        <w:rPr>
          <w:rFonts w:hint="eastAsia"/>
        </w:rPr>
        <w:t>Step 2: Three year average number for the following items from 03/21/2006 to 03/21/2009</w:t>
      </w:r>
    </w:p>
    <w:p w:rsidR="00A667E8" w:rsidRDefault="00A667E8" w:rsidP="00137806">
      <w:r>
        <w:rPr>
          <w:rFonts w:hint="eastAsia"/>
        </w:rPr>
        <w:tab/>
        <w:t>Only companies with:</w:t>
      </w:r>
    </w:p>
    <w:p w:rsidR="00137806" w:rsidRDefault="00137806" w:rsidP="00137806">
      <w:pPr>
        <w:ind w:firstLine="800"/>
        <w:rPr>
          <w:rFonts w:hint="eastAsia"/>
        </w:rPr>
      </w:pPr>
      <w:r>
        <w:rPr>
          <w:rFonts w:hint="eastAsia"/>
        </w:rPr>
        <w:t xml:space="preserve">- Only Positive </w:t>
      </w:r>
      <w:r w:rsidR="00CC0E57">
        <w:rPr>
          <w:rFonts w:hint="eastAsia"/>
        </w:rPr>
        <w:t xml:space="preserve">average </w:t>
      </w:r>
      <w:r>
        <w:rPr>
          <w:rFonts w:hint="eastAsia"/>
        </w:rPr>
        <w:t>earnings</w:t>
      </w:r>
    </w:p>
    <w:p w:rsidR="00137806" w:rsidRDefault="00137806">
      <w:pPr>
        <w:rPr>
          <w:rFonts w:hint="eastAsia"/>
        </w:rPr>
      </w:pPr>
      <w:r>
        <w:rPr>
          <w:rFonts w:hint="eastAsia"/>
        </w:rPr>
        <w:tab/>
        <w:t>- Total Depreciation &amp; Amortization expense greater than zero</w:t>
      </w:r>
    </w:p>
    <w:p w:rsidR="00137806" w:rsidRPr="00137806" w:rsidRDefault="00137806">
      <w:pPr>
        <w:rPr>
          <w:rFonts w:hint="eastAsia"/>
        </w:rPr>
      </w:pPr>
      <w:r>
        <w:rPr>
          <w:rFonts w:hint="eastAsia"/>
        </w:rPr>
        <w:tab/>
        <w:t>- Market Capitalization on 03/21/2009 greater than zero</w:t>
      </w:r>
    </w:p>
    <w:p w:rsidR="00137806" w:rsidRDefault="00137806">
      <w:pPr>
        <w:rPr>
          <w:rFonts w:hint="eastAsia"/>
        </w:rPr>
      </w:pPr>
      <w:r>
        <w:rPr>
          <w:rFonts w:hint="eastAsia"/>
        </w:rPr>
        <w:t>Step 3: Derived 1,731 companies</w:t>
      </w:r>
    </w:p>
    <w:p w:rsidR="00B52362" w:rsidRDefault="00B52362">
      <w:pPr>
        <w:rPr>
          <w:rFonts w:hint="eastAsia"/>
        </w:rPr>
      </w:pPr>
    </w:p>
    <w:p w:rsidR="00A00783" w:rsidRPr="00A00783" w:rsidRDefault="00A00783">
      <w:pPr>
        <w:rPr>
          <w:rFonts w:hint="eastAsia"/>
          <w:b/>
          <w:sz w:val="28"/>
          <w:szCs w:val="28"/>
        </w:rPr>
      </w:pPr>
      <w:r w:rsidRPr="00A00783">
        <w:rPr>
          <w:rFonts w:hint="eastAsia"/>
          <w:b/>
          <w:sz w:val="28"/>
          <w:szCs w:val="28"/>
        </w:rPr>
        <w:t>Result</w:t>
      </w:r>
      <w:r>
        <w:rPr>
          <w:rFonts w:hint="eastAsia"/>
          <w:b/>
          <w:sz w:val="28"/>
          <w:szCs w:val="28"/>
        </w:rPr>
        <w:t xml:space="preserve"> (</w:t>
      </w:r>
      <w:r w:rsidRPr="00A00783">
        <w:rPr>
          <w:rFonts w:hint="eastAsia"/>
          <w:b/>
          <w:sz w:val="28"/>
          <w:szCs w:val="28"/>
        </w:rPr>
        <w:t xml:space="preserve">03/21/2009 to 03/20/2010 </w:t>
      </w:r>
      <w:r>
        <w:rPr>
          <w:rFonts w:hint="eastAsia"/>
          <w:b/>
          <w:sz w:val="28"/>
          <w:szCs w:val="28"/>
        </w:rPr>
        <w:t>return)</w:t>
      </w:r>
    </w:p>
    <w:tbl>
      <w:tblPr>
        <w:tblW w:w="7024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2120"/>
        <w:gridCol w:w="2143"/>
        <w:gridCol w:w="988"/>
        <w:gridCol w:w="988"/>
        <w:gridCol w:w="988"/>
      </w:tblGrid>
      <w:tr w:rsidR="00A00783" w:rsidRPr="00A00783" w:rsidTr="00A00783">
        <w:trPr>
          <w:trHeight w:val="27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Adj. P/E Ranking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proofErr w:type="spellStart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Avg</w:t>
            </w:r>
            <w:proofErr w:type="spellEnd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 Return by P/E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Small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Medium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Large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 (Low</w:t>
            </w:r>
            <w:r>
              <w:rPr>
                <w:rFonts w:ascii="Arial" w:eastAsia="굴림" w:hAnsi="Arial" w:cs="Arial" w:hint="eastAsia"/>
                <w:b/>
                <w:bCs/>
                <w:kern w:val="0"/>
                <w:szCs w:val="20"/>
              </w:rPr>
              <w:t xml:space="preserve"> 10%</w:t>
            </w: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196.78%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181.12%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244.01%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165.22%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110.88%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123.35%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112.89%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96.60%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110.58%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109.74%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104.25%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117.73%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97.42%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92.69%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120.29%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79.19%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89.55%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95.41%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97.06%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76.29%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67.95%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59.88%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75.59%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68.25%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55.20%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58.56%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57.04%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50.05%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59.46%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60.32%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66.97%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51.12%</w:t>
            </w:r>
          </w:p>
        </w:tc>
      </w:tr>
      <w:tr w:rsidR="00A00783" w:rsidRPr="00A00783" w:rsidTr="00A00783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53.07%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58.24%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52.41%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48.66%</w:t>
            </w:r>
          </w:p>
        </w:tc>
      </w:tr>
      <w:tr w:rsidR="00A00783" w:rsidRPr="00A00783" w:rsidTr="00A00783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10 (High</w:t>
            </w:r>
            <w:r>
              <w:rPr>
                <w:rFonts w:ascii="Arial" w:eastAsia="굴림" w:hAnsi="Arial" w:cs="Arial" w:hint="eastAsia"/>
                <w:b/>
                <w:bCs/>
                <w:kern w:val="0"/>
                <w:szCs w:val="20"/>
              </w:rPr>
              <w:t xml:space="preserve"> 10%</w:t>
            </w: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53.88%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61.40%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66.08%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right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34.30%</w:t>
            </w:r>
          </w:p>
        </w:tc>
      </w:tr>
      <w:tr w:rsidR="00A00783" w:rsidRPr="00A00783" w:rsidTr="00A00783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proofErr w:type="spellStart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Avg</w:t>
            </w:r>
            <w:proofErr w:type="spellEnd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Retun</w:t>
            </w:r>
            <w:proofErr w:type="spellEnd"/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 by Size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108.74%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93.89%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00783" w:rsidRPr="00A00783" w:rsidRDefault="00A00783" w:rsidP="00A00783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A00783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65.99%</w:t>
            </w:r>
          </w:p>
        </w:tc>
      </w:tr>
    </w:tbl>
    <w:p w:rsidR="00A00783" w:rsidRDefault="00A00783" w:rsidP="00A00783">
      <w:pPr>
        <w:jc w:val="center"/>
        <w:rPr>
          <w:rFonts w:hint="eastAsia"/>
        </w:rPr>
      </w:pPr>
    </w:p>
    <w:p w:rsidR="00A00783" w:rsidRPr="00B52362" w:rsidRDefault="00B52362">
      <w:pPr>
        <w:rPr>
          <w:rFonts w:hint="eastAsia"/>
          <w:b/>
          <w:sz w:val="28"/>
          <w:szCs w:val="28"/>
        </w:rPr>
      </w:pPr>
      <w:r w:rsidRPr="00B52362">
        <w:rPr>
          <w:rFonts w:hint="eastAsia"/>
          <w:b/>
          <w:sz w:val="28"/>
          <w:szCs w:val="28"/>
        </w:rPr>
        <w:t>Conclusion</w:t>
      </w:r>
    </w:p>
    <w:p w:rsidR="00B52362" w:rsidRDefault="00B52362">
      <w:pPr>
        <w:rPr>
          <w:rFonts w:hint="eastAsia"/>
        </w:rPr>
      </w:pPr>
      <w:r>
        <w:rPr>
          <w:rFonts w:hint="eastAsia"/>
        </w:rPr>
        <w:t>The low adjusted P/E stocks generated superior return</w:t>
      </w:r>
      <w:r w:rsidR="00CC0E57">
        <w:rPr>
          <w:rFonts w:hint="eastAsia"/>
        </w:rPr>
        <w:t>s</w:t>
      </w:r>
      <w:r>
        <w:rPr>
          <w:rFonts w:hint="eastAsia"/>
        </w:rPr>
        <w:t xml:space="preserve"> than those with high adjusted </w:t>
      </w:r>
      <w:r w:rsidR="00BF47F9">
        <w:rPr>
          <w:rFonts w:hint="eastAsia"/>
        </w:rPr>
        <w:t>P/E during the tested period</w:t>
      </w:r>
      <w:r w:rsidR="00CC0E57">
        <w:rPr>
          <w:rFonts w:hint="eastAsia"/>
        </w:rPr>
        <w:t>,</w:t>
      </w:r>
      <w:r w:rsidR="00BF47F9">
        <w:rPr>
          <w:rFonts w:hint="eastAsia"/>
        </w:rPr>
        <w:t xml:space="preserve"> regardless of size.  Graphical result is shown on the next page.</w:t>
      </w:r>
    </w:p>
    <w:p w:rsidR="00B52362" w:rsidRDefault="00B52362">
      <w:pPr>
        <w:rPr>
          <w:rFonts w:hint="eastAsia"/>
        </w:rPr>
      </w:pPr>
    </w:p>
    <w:p w:rsidR="00B52362" w:rsidRDefault="00B52362">
      <w:pPr>
        <w:rPr>
          <w:rFonts w:hint="eastAsia"/>
        </w:rPr>
      </w:pPr>
    </w:p>
    <w:p w:rsidR="00B52362" w:rsidRDefault="00B52362">
      <w:pPr>
        <w:rPr>
          <w:rFonts w:hint="eastAsia"/>
        </w:rPr>
      </w:pPr>
      <w:r>
        <w:rPr>
          <w:rFonts w:hint="eastAsia"/>
        </w:rPr>
        <w:t xml:space="preserve">By Hyun Jun Kim, </w:t>
      </w:r>
      <w:hyperlink r:id="rId7" w:history="1">
        <w:r w:rsidRPr="00D41FEF">
          <w:rPr>
            <w:rStyle w:val="Hyperlink"/>
            <w:rFonts w:hint="eastAsia"/>
          </w:rPr>
          <w:t>kim813@illinois.edu</w:t>
        </w:r>
      </w:hyperlink>
      <w:r>
        <w:rPr>
          <w:rFonts w:hint="eastAsia"/>
        </w:rPr>
        <w:t>, (217) 778-3616</w:t>
      </w:r>
    </w:p>
    <w:p w:rsidR="00B52362" w:rsidRDefault="00B52362">
      <w:pPr>
        <w:rPr>
          <w:rFonts w:hint="eastAsia"/>
        </w:rPr>
      </w:pPr>
    </w:p>
    <w:p w:rsidR="00B52362" w:rsidRPr="00B52362" w:rsidRDefault="00B52362" w:rsidP="00B52362">
      <w:pPr>
        <w:jc w:val="center"/>
        <w:rPr>
          <w:rFonts w:hint="eastAsia"/>
          <w:b/>
          <w:sz w:val="32"/>
          <w:szCs w:val="28"/>
        </w:rPr>
      </w:pPr>
      <w:r w:rsidRPr="00B52362">
        <w:rPr>
          <w:rFonts w:hint="eastAsia"/>
          <w:b/>
          <w:sz w:val="32"/>
          <w:szCs w:val="28"/>
        </w:rPr>
        <w:t>Annual Return by P/E</w:t>
      </w:r>
    </w:p>
    <w:p w:rsidR="00B52362" w:rsidRPr="00CC0E57" w:rsidRDefault="00B52362" w:rsidP="00B52362">
      <w:pPr>
        <w:jc w:val="center"/>
        <w:rPr>
          <w:rFonts w:hint="eastAsia"/>
          <w:u w:val="single"/>
        </w:rPr>
      </w:pPr>
      <w:r w:rsidRPr="00CC0E57">
        <w:rPr>
          <w:u w:val="single"/>
        </w:rPr>
        <w:drawing>
          <wp:inline distT="0" distB="0" distL="0" distR="0">
            <wp:extent cx="4766003" cy="2881937"/>
            <wp:effectExtent l="19050" t="0" r="15547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2362" w:rsidRDefault="00B52362">
      <w:pPr>
        <w:rPr>
          <w:rFonts w:hint="eastAsia"/>
        </w:rPr>
      </w:pPr>
    </w:p>
    <w:p w:rsidR="00B52362" w:rsidRDefault="00B52362">
      <w:pPr>
        <w:rPr>
          <w:rFonts w:hint="eastAsia"/>
        </w:rPr>
      </w:pPr>
    </w:p>
    <w:p w:rsidR="00B52362" w:rsidRPr="00B52362" w:rsidRDefault="00B52362" w:rsidP="00B52362">
      <w:pPr>
        <w:jc w:val="center"/>
        <w:rPr>
          <w:rFonts w:hint="eastAsia"/>
          <w:b/>
          <w:sz w:val="32"/>
          <w:szCs w:val="28"/>
        </w:rPr>
      </w:pPr>
      <w:r w:rsidRPr="00B52362">
        <w:rPr>
          <w:rFonts w:hint="eastAsia"/>
          <w:b/>
          <w:sz w:val="32"/>
          <w:szCs w:val="28"/>
        </w:rPr>
        <w:t>Annual Return by P/E and Size</w:t>
      </w:r>
    </w:p>
    <w:p w:rsidR="00B52362" w:rsidRDefault="00B52362" w:rsidP="00B52362">
      <w:pPr>
        <w:jc w:val="center"/>
      </w:pPr>
      <w:r w:rsidRPr="00CC0E57">
        <w:rPr>
          <w:u w:val="single"/>
        </w:rPr>
        <w:drawing>
          <wp:inline distT="0" distB="0" distL="0" distR="0">
            <wp:extent cx="4767361" cy="2825180"/>
            <wp:effectExtent l="19050" t="0" r="14189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52362" w:rsidSect="00753C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7806"/>
    <w:rsid w:val="00084C51"/>
    <w:rsid w:val="00102839"/>
    <w:rsid w:val="00106362"/>
    <w:rsid w:val="00137806"/>
    <w:rsid w:val="001A4050"/>
    <w:rsid w:val="002C0F2D"/>
    <w:rsid w:val="002F6EEA"/>
    <w:rsid w:val="003153B8"/>
    <w:rsid w:val="004613F3"/>
    <w:rsid w:val="005661D0"/>
    <w:rsid w:val="00753CD1"/>
    <w:rsid w:val="008A0C94"/>
    <w:rsid w:val="00A00783"/>
    <w:rsid w:val="00A667E8"/>
    <w:rsid w:val="00B52362"/>
    <w:rsid w:val="00BF47F9"/>
    <w:rsid w:val="00CC0E57"/>
    <w:rsid w:val="00E6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51"/>
    <w:pPr>
      <w:widowControl w:val="0"/>
      <w:wordWrap w:val="0"/>
      <w:autoSpaceDE w:val="0"/>
      <w:autoSpaceDN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3153B8"/>
    <w:pPr>
      <w:widowControl/>
      <w:wordWrap/>
      <w:autoSpaceDE/>
      <w:autoSpaceDN/>
      <w:spacing w:before="100" w:beforeAutospacing="1" w:after="100" w:afterAutospacing="1" w:line="336" w:lineRule="atLeast"/>
      <w:jc w:val="left"/>
      <w:outlineLvl w:val="2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4C51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084C51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A6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E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E8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53B8"/>
    <w:rPr>
      <w:rFonts w:ascii="굴림" w:eastAsia="굴림" w:hAnsi="굴림" w:cs="굴림"/>
      <w:b/>
      <w:bCs/>
      <w:kern w:val="0"/>
      <w:sz w:val="24"/>
      <w:szCs w:val="24"/>
    </w:rPr>
  </w:style>
  <w:style w:type="table" w:styleId="TableGrid">
    <w:name w:val="Table Grid"/>
    <w:basedOn w:val="TableNormal"/>
    <w:uiPriority w:val="59"/>
    <w:rsid w:val="00315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mailto:kim813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813@illinoi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jkim@alumni.utoronto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im813@illinois.edu" TargetMode="Externa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n\Desktop\MyReport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n\Desktop\MyReport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Result!$B$1</c:f>
              <c:strCache>
                <c:ptCount val="1"/>
                <c:pt idx="0">
                  <c:v>Avg Return by P/E</c:v>
                </c:pt>
              </c:strCache>
            </c:strRef>
          </c:tx>
          <c:cat>
            <c:strRef>
              <c:f>Result!$A$2:$A$11</c:f>
              <c:strCache>
                <c:ptCount val="10"/>
                <c:pt idx="0">
                  <c:v>1 (Low)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 (High)</c:v>
                </c:pt>
              </c:strCache>
            </c:strRef>
          </c:cat>
          <c:val>
            <c:numRef>
              <c:f>Result!$B$2:$B$11</c:f>
              <c:numCache>
                <c:formatCode>0.00%</c:formatCode>
                <c:ptCount val="10"/>
                <c:pt idx="0">
                  <c:v>1.9678182933302384</c:v>
                </c:pt>
                <c:pt idx="1">
                  <c:v>1.1087664859428421</c:v>
                </c:pt>
                <c:pt idx="2">
                  <c:v>1.1057718839847166</c:v>
                </c:pt>
                <c:pt idx="3">
                  <c:v>0.97418218037942794</c:v>
                </c:pt>
                <c:pt idx="4">
                  <c:v>0.89552307523741737</c:v>
                </c:pt>
                <c:pt idx="5">
                  <c:v>0.67953636496273473</c:v>
                </c:pt>
                <c:pt idx="6">
                  <c:v>0.55196696361472264</c:v>
                </c:pt>
                <c:pt idx="7">
                  <c:v>0.59462852211627448</c:v>
                </c:pt>
                <c:pt idx="8">
                  <c:v>0.53074446908255513</c:v>
                </c:pt>
                <c:pt idx="9">
                  <c:v>0.53880503798827373</c:v>
                </c:pt>
              </c:numCache>
            </c:numRef>
          </c:val>
        </c:ser>
        <c:axId val="111237760"/>
        <c:axId val="113079808"/>
      </c:barChart>
      <c:catAx>
        <c:axId val="111237760"/>
        <c:scaling>
          <c:orientation val="minMax"/>
        </c:scaling>
        <c:axPos val="b"/>
        <c:tickLblPos val="nextTo"/>
        <c:crossAx val="113079808"/>
        <c:crosses val="autoZero"/>
        <c:auto val="1"/>
        <c:lblAlgn val="ctr"/>
        <c:lblOffset val="100"/>
      </c:catAx>
      <c:valAx>
        <c:axId val="113079808"/>
        <c:scaling>
          <c:orientation val="minMax"/>
        </c:scaling>
        <c:axPos val="l"/>
        <c:majorGridlines/>
        <c:numFmt formatCode="0.00%" sourceLinked="1"/>
        <c:tickLblPos val="nextTo"/>
        <c:crossAx val="11123776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plotArea>
      <c:layout/>
      <c:barChart>
        <c:barDir val="col"/>
        <c:grouping val="clustered"/>
        <c:ser>
          <c:idx val="0"/>
          <c:order val="0"/>
          <c:tx>
            <c:strRef>
              <c:f>Result!$C$1</c:f>
              <c:strCache>
                <c:ptCount val="1"/>
                <c:pt idx="0">
                  <c:v>Small</c:v>
                </c:pt>
              </c:strCache>
            </c:strRef>
          </c:tx>
          <c:cat>
            <c:strRef>
              <c:f>Result!$A$2:$A$11</c:f>
              <c:strCache>
                <c:ptCount val="10"/>
                <c:pt idx="0">
                  <c:v>1 (Low)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 (High)</c:v>
                </c:pt>
              </c:strCache>
            </c:strRef>
          </c:cat>
          <c:val>
            <c:numRef>
              <c:f>Result!$C$2:$C$11</c:f>
              <c:numCache>
                <c:formatCode>0.00%</c:formatCode>
                <c:ptCount val="10"/>
                <c:pt idx="0">
                  <c:v>1.8111918754877605</c:v>
                </c:pt>
                <c:pt idx="1">
                  <c:v>1.2335477856611019</c:v>
                </c:pt>
                <c:pt idx="2">
                  <c:v>1.0973544909076445</c:v>
                </c:pt>
                <c:pt idx="3">
                  <c:v>0.92689389542000378</c:v>
                </c:pt>
                <c:pt idx="4">
                  <c:v>0.95407729765488525</c:v>
                </c:pt>
                <c:pt idx="5">
                  <c:v>0.5987903507787522</c:v>
                </c:pt>
                <c:pt idx="6">
                  <c:v>0.58564012055739334</c:v>
                </c:pt>
                <c:pt idx="7">
                  <c:v>0.60318452439375125</c:v>
                </c:pt>
                <c:pt idx="8">
                  <c:v>0.5824285637944514</c:v>
                </c:pt>
                <c:pt idx="9">
                  <c:v>0.61398525545268179</c:v>
                </c:pt>
              </c:numCache>
            </c:numRef>
          </c:val>
        </c:ser>
        <c:ser>
          <c:idx val="1"/>
          <c:order val="1"/>
          <c:tx>
            <c:strRef>
              <c:f>Result!$D$1</c:f>
              <c:strCache>
                <c:ptCount val="1"/>
                <c:pt idx="0">
                  <c:v>Medium</c:v>
                </c:pt>
              </c:strCache>
            </c:strRef>
          </c:tx>
          <c:cat>
            <c:strRef>
              <c:f>Result!$A$2:$A$11</c:f>
              <c:strCache>
                <c:ptCount val="10"/>
                <c:pt idx="0">
                  <c:v>1 (Low)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 (High)</c:v>
                </c:pt>
              </c:strCache>
            </c:strRef>
          </c:cat>
          <c:val>
            <c:numRef>
              <c:f>Result!$D$2:$D$11</c:f>
              <c:numCache>
                <c:formatCode>0.00%</c:formatCode>
                <c:ptCount val="10"/>
                <c:pt idx="0">
                  <c:v>2.4400506352563771</c:v>
                </c:pt>
                <c:pt idx="1">
                  <c:v>1.1288675067201555</c:v>
                </c:pt>
                <c:pt idx="2">
                  <c:v>1.0424671566598169</c:v>
                </c:pt>
                <c:pt idx="3">
                  <c:v>1.2028888856692703</c:v>
                </c:pt>
                <c:pt idx="4">
                  <c:v>0.97056621305711355</c:v>
                </c:pt>
                <c:pt idx="5">
                  <c:v>0.75588987524150453</c:v>
                </c:pt>
                <c:pt idx="6">
                  <c:v>0.57038202989771691</c:v>
                </c:pt>
                <c:pt idx="7">
                  <c:v>0.66968254175250064</c:v>
                </c:pt>
                <c:pt idx="8">
                  <c:v>0.52406159398119978</c:v>
                </c:pt>
                <c:pt idx="9">
                  <c:v>0.66077283687720989</c:v>
                </c:pt>
              </c:numCache>
            </c:numRef>
          </c:val>
        </c:ser>
        <c:ser>
          <c:idx val="2"/>
          <c:order val="2"/>
          <c:tx>
            <c:strRef>
              <c:f>Result!$E$1</c:f>
              <c:strCache>
                <c:ptCount val="1"/>
                <c:pt idx="0">
                  <c:v>Large</c:v>
                </c:pt>
              </c:strCache>
            </c:strRef>
          </c:tx>
          <c:cat>
            <c:strRef>
              <c:f>Result!$A$2:$A$11</c:f>
              <c:strCache>
                <c:ptCount val="10"/>
                <c:pt idx="0">
                  <c:v>1 (Low)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 (High)</c:v>
                </c:pt>
              </c:strCache>
            </c:strRef>
          </c:cat>
          <c:val>
            <c:numRef>
              <c:f>Result!$E$2:$E$11</c:f>
              <c:numCache>
                <c:formatCode>0.00%</c:formatCode>
                <c:ptCount val="10"/>
                <c:pt idx="0">
                  <c:v>1.6522123692465762</c:v>
                </c:pt>
                <c:pt idx="1">
                  <c:v>0.96603556716655259</c:v>
                </c:pt>
                <c:pt idx="2">
                  <c:v>1.1773488769198446</c:v>
                </c:pt>
                <c:pt idx="3">
                  <c:v>0.79194844479108983</c:v>
                </c:pt>
                <c:pt idx="4">
                  <c:v>0.76293527055917709</c:v>
                </c:pt>
                <c:pt idx="5">
                  <c:v>0.68253669620960433</c:v>
                </c:pt>
                <c:pt idx="6">
                  <c:v>0.50045931206048322</c:v>
                </c:pt>
                <c:pt idx="7">
                  <c:v>0.51116601748321688</c:v>
                </c:pt>
                <c:pt idx="8">
                  <c:v>0.48663435455325466</c:v>
                </c:pt>
                <c:pt idx="9">
                  <c:v>0.3429532322808676</c:v>
                </c:pt>
              </c:numCache>
            </c:numRef>
          </c:val>
        </c:ser>
        <c:axId val="113243648"/>
        <c:axId val="113248512"/>
      </c:barChart>
      <c:catAx>
        <c:axId val="113243648"/>
        <c:scaling>
          <c:orientation val="minMax"/>
        </c:scaling>
        <c:axPos val="b"/>
        <c:tickLblPos val="nextTo"/>
        <c:crossAx val="113248512"/>
        <c:crosses val="autoZero"/>
        <c:auto val="1"/>
        <c:lblAlgn val="ctr"/>
        <c:lblOffset val="100"/>
      </c:catAx>
      <c:valAx>
        <c:axId val="113248512"/>
        <c:scaling>
          <c:orientation val="minMax"/>
        </c:scaling>
        <c:axPos val="l"/>
        <c:majorGridlines/>
        <c:numFmt formatCode="0.00%" sourceLinked="1"/>
        <c:tickLblPos val="nextTo"/>
        <c:crossAx val="113243648"/>
        <c:crosses val="autoZero"/>
        <c:crossBetween val="between"/>
      </c:valAx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4</cp:revision>
  <cp:lastPrinted>2010-03-24T19:53:00Z</cp:lastPrinted>
  <dcterms:created xsi:type="dcterms:W3CDTF">2010-03-24T19:03:00Z</dcterms:created>
  <dcterms:modified xsi:type="dcterms:W3CDTF">2010-03-24T19:59:00Z</dcterms:modified>
</cp:coreProperties>
</file>