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754"/>
        <w:gridCol w:w="9118"/>
      </w:tblGrid>
      <w:tr w:rsidR="001F0083" w:rsidRPr="00101976" w:rsidTr="00791F62">
        <w:tc>
          <w:tcPr>
            <w:tcW w:w="11004" w:type="dxa"/>
            <w:gridSpan w:val="2"/>
            <w:shd w:val="clear" w:color="auto" w:fill="F2F2F2" w:themeFill="background1" w:themeFillShade="F2"/>
            <w:vAlign w:val="center"/>
          </w:tcPr>
          <w:p w:rsidR="005A2106" w:rsidRDefault="001532D6" w:rsidP="001B4BFF">
            <w:pPr>
              <w:pStyle w:val="Heading1"/>
              <w:spacing w:before="120" w:after="120"/>
              <w:rPr>
                <w:b w:val="0"/>
                <w:bCs/>
                <w:caps/>
                <w:szCs w:val="24"/>
              </w:rPr>
            </w:pPr>
            <w:r>
              <w:rPr>
                <w:b w:val="0"/>
                <w:bCs/>
                <w:caps/>
                <w:szCs w:val="24"/>
              </w:rPr>
              <w:t>Claremont Savings Bank</w:t>
            </w:r>
          </w:p>
          <w:p w:rsidR="001532D6" w:rsidRPr="001532D6" w:rsidRDefault="001532D6" w:rsidP="00386A52">
            <w:pPr>
              <w:jc w:val="center"/>
            </w:pPr>
            <w:r w:rsidRPr="001532D6">
              <w:rPr>
                <w:bCs/>
                <w:caps/>
                <w:color w:val="003366"/>
                <w:kern w:val="28"/>
                <w:sz w:val="32"/>
                <w:szCs w:val="24"/>
              </w:rPr>
              <w:t xml:space="preserve">2010 Benefits </w:t>
            </w:r>
            <w:r w:rsidR="00386A52">
              <w:rPr>
                <w:bCs/>
                <w:caps/>
                <w:color w:val="003366"/>
                <w:kern w:val="28"/>
                <w:sz w:val="32"/>
                <w:szCs w:val="24"/>
              </w:rPr>
              <w:t>~ Non-</w:t>
            </w:r>
            <w:r w:rsidR="00791F62">
              <w:rPr>
                <w:bCs/>
                <w:caps/>
                <w:color w:val="003366"/>
                <w:kern w:val="28"/>
                <w:sz w:val="32"/>
                <w:szCs w:val="24"/>
              </w:rPr>
              <w:t>Exempt Employees</w:t>
            </w:r>
          </w:p>
        </w:tc>
      </w:tr>
      <w:tr w:rsidR="004446E1" w:rsidRPr="001B4BFF" w:rsidTr="00791F62">
        <w:tc>
          <w:tcPr>
            <w:tcW w:w="11004" w:type="dxa"/>
            <w:gridSpan w:val="2"/>
            <w:shd w:val="clear" w:color="auto" w:fill="F2F2F2" w:themeFill="background1" w:themeFillShade="F2"/>
            <w:vAlign w:val="center"/>
          </w:tcPr>
          <w:p w:rsidR="001532D6" w:rsidRPr="001532D6" w:rsidRDefault="001532D6" w:rsidP="001B4BFF">
            <w:pPr>
              <w:pStyle w:val="ASGTableSubHead"/>
              <w:widowControl w:val="0"/>
              <w:overflowPunct w:val="0"/>
              <w:autoSpaceDE w:val="0"/>
              <w:autoSpaceDN w:val="0"/>
              <w:adjustRightInd w:val="0"/>
              <w:spacing w:before="60" w:after="60"/>
              <w:jc w:val="center"/>
              <w:textAlignment w:val="baseline"/>
              <w:rPr>
                <w:caps w:val="0"/>
                <w:smallCaps/>
              </w:rPr>
            </w:pPr>
            <w:r w:rsidRPr="001532D6">
              <w:rPr>
                <w:caps w:val="0"/>
                <w:smallCaps/>
              </w:rPr>
              <w:t>Beverly Widger, SPHR, Sr. VP Human Resources 603.690.2702</w:t>
            </w:r>
          </w:p>
          <w:p w:rsidR="001532D6" w:rsidRPr="004446E1" w:rsidRDefault="001532D6" w:rsidP="001B4BFF">
            <w:pPr>
              <w:pStyle w:val="ASGTableSubHead"/>
              <w:widowControl w:val="0"/>
              <w:overflowPunct w:val="0"/>
              <w:autoSpaceDE w:val="0"/>
              <w:autoSpaceDN w:val="0"/>
              <w:adjustRightInd w:val="0"/>
              <w:spacing w:before="60" w:after="60"/>
              <w:jc w:val="center"/>
              <w:textAlignment w:val="baseline"/>
            </w:pPr>
            <w:r w:rsidRPr="001532D6">
              <w:rPr>
                <w:caps w:val="0"/>
                <w:smallCaps/>
              </w:rPr>
              <w:t>Chrissy Fratzel, Payroll &amp; Benefits Administrator 603.690.2714</w:t>
            </w:r>
          </w:p>
        </w:tc>
      </w:tr>
      <w:tr w:rsidR="00791F62" w:rsidRPr="00101976" w:rsidTr="00791F62">
        <w:tc>
          <w:tcPr>
            <w:tcW w:w="1764" w:type="dxa"/>
          </w:tcPr>
          <w:p w:rsidR="00791F62" w:rsidRPr="001B4BFF" w:rsidRDefault="00791F62" w:rsidP="001B4BFF">
            <w:pPr>
              <w:spacing w:before="60" w:after="60"/>
              <w:rPr>
                <w:b/>
                <w:color w:val="003366"/>
                <w:sz w:val="18"/>
              </w:rPr>
            </w:pPr>
            <w:r>
              <w:rPr>
                <w:b/>
                <w:color w:val="003366"/>
                <w:sz w:val="18"/>
              </w:rPr>
              <w:t>Medical Insurance</w:t>
            </w:r>
          </w:p>
        </w:tc>
        <w:tc>
          <w:tcPr>
            <w:tcW w:w="9240" w:type="dxa"/>
          </w:tcPr>
          <w:p w:rsidR="00791F62" w:rsidRDefault="00791F62" w:rsidP="001B4BFF">
            <w:pPr>
              <w:spacing w:after="60"/>
              <w:rPr>
                <w:sz w:val="18"/>
              </w:rPr>
            </w:pPr>
            <w:r>
              <w:rPr>
                <w:sz w:val="18"/>
              </w:rPr>
              <w:t>CSB Offers three different affordable Harvard Pilgrim Health Care plans to its employees.  Employees working more than 30 hours per week will be eligible to enroll the first of the month following the date of hire.  The rates below are based a per bi-weekly pay period employee deduction.</w:t>
            </w:r>
          </w:p>
          <w:tbl>
            <w:tblPr>
              <w:tblStyle w:val="TableGrid"/>
              <w:tblW w:w="0" w:type="auto"/>
              <w:tblLook w:val="04A0"/>
            </w:tblPr>
            <w:tblGrid>
              <w:gridCol w:w="1327"/>
              <w:gridCol w:w="1980"/>
              <w:gridCol w:w="2430"/>
              <w:gridCol w:w="2432"/>
            </w:tblGrid>
            <w:tr w:rsidR="00791F62" w:rsidTr="001532D6">
              <w:tc>
                <w:tcPr>
                  <w:tcW w:w="1327" w:type="dxa"/>
                </w:tcPr>
                <w:p w:rsidR="00791F62" w:rsidRDefault="00791F62" w:rsidP="001B4BFF">
                  <w:pPr>
                    <w:spacing w:after="60"/>
                    <w:rPr>
                      <w:sz w:val="18"/>
                    </w:rPr>
                  </w:pPr>
                </w:p>
              </w:tc>
              <w:tc>
                <w:tcPr>
                  <w:tcW w:w="1980" w:type="dxa"/>
                </w:tcPr>
                <w:p w:rsidR="00791F62" w:rsidRDefault="00791F62" w:rsidP="001B4BFF">
                  <w:pPr>
                    <w:spacing w:after="60"/>
                    <w:rPr>
                      <w:sz w:val="18"/>
                    </w:rPr>
                  </w:pPr>
                  <w:r>
                    <w:rPr>
                      <w:sz w:val="18"/>
                    </w:rPr>
                    <w:t xml:space="preserve">HPHC </w:t>
                  </w:r>
                  <w:r w:rsidRPr="001532D6">
                    <w:rPr>
                      <w:b/>
                      <w:sz w:val="18"/>
                    </w:rPr>
                    <w:t>HMO</w:t>
                  </w:r>
                </w:p>
              </w:tc>
              <w:tc>
                <w:tcPr>
                  <w:tcW w:w="2430" w:type="dxa"/>
                </w:tcPr>
                <w:p w:rsidR="00791F62" w:rsidRDefault="00791F62" w:rsidP="001532D6">
                  <w:pPr>
                    <w:spacing w:after="60"/>
                    <w:rPr>
                      <w:sz w:val="18"/>
                    </w:rPr>
                  </w:pPr>
                  <w:r>
                    <w:rPr>
                      <w:sz w:val="18"/>
                    </w:rPr>
                    <w:t xml:space="preserve">HPHC </w:t>
                  </w:r>
                  <w:r w:rsidRPr="001532D6">
                    <w:rPr>
                      <w:b/>
                      <w:sz w:val="18"/>
                    </w:rPr>
                    <w:t>HSA</w:t>
                  </w:r>
                  <w:r>
                    <w:rPr>
                      <w:sz w:val="18"/>
                    </w:rPr>
                    <w:t xml:space="preserve"> $2,000/$4,000 Deductible ***</w:t>
                  </w:r>
                </w:p>
              </w:tc>
              <w:tc>
                <w:tcPr>
                  <w:tcW w:w="2432" w:type="dxa"/>
                </w:tcPr>
                <w:p w:rsidR="00791F62" w:rsidRDefault="00791F62" w:rsidP="001532D6">
                  <w:pPr>
                    <w:spacing w:after="60"/>
                    <w:rPr>
                      <w:sz w:val="18"/>
                    </w:rPr>
                  </w:pPr>
                  <w:r>
                    <w:rPr>
                      <w:sz w:val="18"/>
                    </w:rPr>
                    <w:t xml:space="preserve">HPHC </w:t>
                  </w:r>
                  <w:r w:rsidRPr="001532D6">
                    <w:rPr>
                      <w:b/>
                      <w:sz w:val="18"/>
                    </w:rPr>
                    <w:t xml:space="preserve">HSA </w:t>
                  </w:r>
                  <w:r>
                    <w:rPr>
                      <w:sz w:val="18"/>
                    </w:rPr>
                    <w:t>$3,000/$6,000 Deductible***</w:t>
                  </w:r>
                </w:p>
              </w:tc>
            </w:tr>
            <w:tr w:rsidR="00791F62" w:rsidTr="001532D6">
              <w:tc>
                <w:tcPr>
                  <w:tcW w:w="1327" w:type="dxa"/>
                </w:tcPr>
                <w:p w:rsidR="00791F62" w:rsidRDefault="00791F62" w:rsidP="001B4BFF">
                  <w:pPr>
                    <w:spacing w:after="60"/>
                    <w:rPr>
                      <w:sz w:val="18"/>
                    </w:rPr>
                  </w:pPr>
                  <w:r>
                    <w:rPr>
                      <w:sz w:val="18"/>
                    </w:rPr>
                    <w:t>Single</w:t>
                  </w:r>
                </w:p>
              </w:tc>
              <w:tc>
                <w:tcPr>
                  <w:tcW w:w="1980" w:type="dxa"/>
                </w:tcPr>
                <w:p w:rsidR="00791F62" w:rsidRDefault="00791F62" w:rsidP="001B4BFF">
                  <w:pPr>
                    <w:spacing w:after="60"/>
                    <w:rPr>
                      <w:sz w:val="18"/>
                    </w:rPr>
                  </w:pPr>
                  <w:r>
                    <w:rPr>
                      <w:sz w:val="18"/>
                    </w:rPr>
                    <w:t>$49.51</w:t>
                  </w:r>
                </w:p>
              </w:tc>
              <w:tc>
                <w:tcPr>
                  <w:tcW w:w="2430" w:type="dxa"/>
                </w:tcPr>
                <w:p w:rsidR="00791F62" w:rsidRDefault="00791F62" w:rsidP="001B4BFF">
                  <w:pPr>
                    <w:spacing w:after="60"/>
                    <w:rPr>
                      <w:sz w:val="18"/>
                    </w:rPr>
                  </w:pPr>
                  <w:r>
                    <w:rPr>
                      <w:sz w:val="18"/>
                    </w:rPr>
                    <w:t>$54.54</w:t>
                  </w:r>
                </w:p>
              </w:tc>
              <w:tc>
                <w:tcPr>
                  <w:tcW w:w="2432" w:type="dxa"/>
                </w:tcPr>
                <w:p w:rsidR="00791F62" w:rsidRDefault="00791F62" w:rsidP="001B4BFF">
                  <w:pPr>
                    <w:spacing w:after="60"/>
                    <w:rPr>
                      <w:sz w:val="18"/>
                    </w:rPr>
                  </w:pPr>
                  <w:r>
                    <w:rPr>
                      <w:sz w:val="18"/>
                    </w:rPr>
                    <w:t>$21.00</w:t>
                  </w:r>
                </w:p>
              </w:tc>
            </w:tr>
            <w:tr w:rsidR="00791F62" w:rsidTr="001532D6">
              <w:tc>
                <w:tcPr>
                  <w:tcW w:w="1327" w:type="dxa"/>
                </w:tcPr>
                <w:p w:rsidR="00791F62" w:rsidRDefault="00791F62" w:rsidP="001B4BFF">
                  <w:pPr>
                    <w:spacing w:after="60"/>
                    <w:rPr>
                      <w:sz w:val="18"/>
                    </w:rPr>
                  </w:pPr>
                  <w:r>
                    <w:rPr>
                      <w:sz w:val="18"/>
                    </w:rPr>
                    <w:t>Two Person</w:t>
                  </w:r>
                </w:p>
              </w:tc>
              <w:tc>
                <w:tcPr>
                  <w:tcW w:w="1980" w:type="dxa"/>
                </w:tcPr>
                <w:p w:rsidR="00791F62" w:rsidRDefault="00791F62" w:rsidP="001B4BFF">
                  <w:pPr>
                    <w:spacing w:after="60"/>
                    <w:rPr>
                      <w:sz w:val="18"/>
                    </w:rPr>
                  </w:pPr>
                  <w:r>
                    <w:rPr>
                      <w:sz w:val="18"/>
                    </w:rPr>
                    <w:t>$100.56</w:t>
                  </w:r>
                </w:p>
              </w:tc>
              <w:tc>
                <w:tcPr>
                  <w:tcW w:w="2430" w:type="dxa"/>
                </w:tcPr>
                <w:p w:rsidR="00791F62" w:rsidRDefault="00791F62" w:rsidP="001B4BFF">
                  <w:pPr>
                    <w:spacing w:after="60"/>
                    <w:rPr>
                      <w:sz w:val="18"/>
                    </w:rPr>
                  </w:pPr>
                  <w:r>
                    <w:rPr>
                      <w:sz w:val="18"/>
                    </w:rPr>
                    <w:t>$110.63</w:t>
                  </w:r>
                </w:p>
              </w:tc>
              <w:tc>
                <w:tcPr>
                  <w:tcW w:w="2432" w:type="dxa"/>
                </w:tcPr>
                <w:p w:rsidR="00791F62" w:rsidRDefault="00791F62" w:rsidP="001B4BFF">
                  <w:pPr>
                    <w:spacing w:after="60"/>
                    <w:rPr>
                      <w:sz w:val="18"/>
                    </w:rPr>
                  </w:pPr>
                  <w:r>
                    <w:rPr>
                      <w:sz w:val="18"/>
                    </w:rPr>
                    <w:t>$43.55</w:t>
                  </w:r>
                </w:p>
              </w:tc>
            </w:tr>
            <w:tr w:rsidR="00791F62" w:rsidTr="001532D6">
              <w:tc>
                <w:tcPr>
                  <w:tcW w:w="1327" w:type="dxa"/>
                </w:tcPr>
                <w:p w:rsidR="00791F62" w:rsidRDefault="00791F62" w:rsidP="001B4BFF">
                  <w:pPr>
                    <w:spacing w:after="60"/>
                    <w:rPr>
                      <w:sz w:val="18"/>
                    </w:rPr>
                  </w:pPr>
                  <w:r>
                    <w:rPr>
                      <w:sz w:val="18"/>
                    </w:rPr>
                    <w:t>Family</w:t>
                  </w:r>
                </w:p>
              </w:tc>
              <w:tc>
                <w:tcPr>
                  <w:tcW w:w="1980" w:type="dxa"/>
                </w:tcPr>
                <w:p w:rsidR="00791F62" w:rsidRDefault="00791F62" w:rsidP="001B4BFF">
                  <w:pPr>
                    <w:spacing w:after="60"/>
                    <w:rPr>
                      <w:sz w:val="18"/>
                    </w:rPr>
                  </w:pPr>
                  <w:r>
                    <w:rPr>
                      <w:sz w:val="18"/>
                    </w:rPr>
                    <w:t>$163.64</w:t>
                  </w:r>
                </w:p>
              </w:tc>
              <w:tc>
                <w:tcPr>
                  <w:tcW w:w="2430" w:type="dxa"/>
                </w:tcPr>
                <w:p w:rsidR="00791F62" w:rsidRDefault="00791F62" w:rsidP="001B4BFF">
                  <w:pPr>
                    <w:spacing w:after="60"/>
                    <w:rPr>
                      <w:sz w:val="18"/>
                    </w:rPr>
                  </w:pPr>
                  <w:r>
                    <w:rPr>
                      <w:sz w:val="18"/>
                    </w:rPr>
                    <w:t>$136.85</w:t>
                  </w:r>
                </w:p>
              </w:tc>
              <w:tc>
                <w:tcPr>
                  <w:tcW w:w="2432" w:type="dxa"/>
                </w:tcPr>
                <w:p w:rsidR="00791F62" w:rsidRDefault="00791F62" w:rsidP="00F50D30">
                  <w:pPr>
                    <w:spacing w:after="60"/>
                    <w:rPr>
                      <w:sz w:val="18"/>
                    </w:rPr>
                  </w:pPr>
                  <w:r>
                    <w:rPr>
                      <w:sz w:val="18"/>
                    </w:rPr>
                    <w:t>$</w:t>
                  </w:r>
                  <w:r w:rsidR="00F50D30">
                    <w:rPr>
                      <w:sz w:val="18"/>
                    </w:rPr>
                    <w:t>46.29</w:t>
                  </w:r>
                </w:p>
              </w:tc>
            </w:tr>
            <w:tr w:rsidR="00791F62" w:rsidTr="001532D6">
              <w:tc>
                <w:tcPr>
                  <w:tcW w:w="3307" w:type="dxa"/>
                  <w:gridSpan w:val="2"/>
                </w:tcPr>
                <w:p w:rsidR="00791F62" w:rsidRPr="001532D6" w:rsidRDefault="00791F62" w:rsidP="001532D6">
                  <w:pPr>
                    <w:spacing w:after="60"/>
                    <w:rPr>
                      <w:i/>
                      <w:sz w:val="18"/>
                    </w:rPr>
                  </w:pPr>
                  <w:r w:rsidRPr="001532D6">
                    <w:rPr>
                      <w:i/>
                      <w:sz w:val="18"/>
                    </w:rPr>
                    <w:t xml:space="preserve">*** Bank Funded Portion of Deductible </w:t>
                  </w:r>
                </w:p>
              </w:tc>
              <w:tc>
                <w:tcPr>
                  <w:tcW w:w="2430" w:type="dxa"/>
                </w:tcPr>
                <w:p w:rsidR="00791F62" w:rsidRDefault="00791F62" w:rsidP="001B4BFF">
                  <w:pPr>
                    <w:spacing w:after="60"/>
                    <w:rPr>
                      <w:sz w:val="18"/>
                    </w:rPr>
                  </w:pPr>
                  <w:r>
                    <w:rPr>
                      <w:sz w:val="18"/>
                    </w:rPr>
                    <w:t>$1,500/$3,000</w:t>
                  </w:r>
                </w:p>
              </w:tc>
              <w:tc>
                <w:tcPr>
                  <w:tcW w:w="2432" w:type="dxa"/>
                </w:tcPr>
                <w:p w:rsidR="00791F62" w:rsidRDefault="00791F62" w:rsidP="001B4BFF">
                  <w:pPr>
                    <w:spacing w:after="60"/>
                    <w:rPr>
                      <w:sz w:val="18"/>
                    </w:rPr>
                  </w:pPr>
                  <w:r>
                    <w:rPr>
                      <w:sz w:val="18"/>
                    </w:rPr>
                    <w:t>$1,500/$3,000</w:t>
                  </w:r>
                </w:p>
              </w:tc>
            </w:tr>
          </w:tbl>
          <w:p w:rsidR="00791F62" w:rsidRPr="001B4BFF" w:rsidRDefault="00791F62" w:rsidP="001B4BFF">
            <w:pPr>
              <w:spacing w:after="60"/>
              <w:rPr>
                <w:sz w:val="18"/>
              </w:rPr>
            </w:pPr>
          </w:p>
        </w:tc>
      </w:tr>
      <w:tr w:rsidR="004446E1" w:rsidRPr="001B4BFF" w:rsidTr="00791F62">
        <w:trPr>
          <w:trHeight w:val="161"/>
        </w:trPr>
        <w:tc>
          <w:tcPr>
            <w:tcW w:w="11004" w:type="dxa"/>
            <w:gridSpan w:val="2"/>
            <w:shd w:val="clear" w:color="auto" w:fill="F2F2F2" w:themeFill="background1" w:themeFillShade="F2"/>
            <w:vAlign w:val="center"/>
          </w:tcPr>
          <w:p w:rsidR="00231183" w:rsidRPr="00C24827" w:rsidRDefault="00231183" w:rsidP="001B4BFF">
            <w:pPr>
              <w:pStyle w:val="ASGTableSubHead"/>
              <w:widowControl w:val="0"/>
              <w:overflowPunct w:val="0"/>
              <w:autoSpaceDE w:val="0"/>
              <w:autoSpaceDN w:val="0"/>
              <w:adjustRightInd w:val="0"/>
              <w:spacing w:before="60" w:after="60"/>
              <w:jc w:val="center"/>
              <w:textAlignment w:val="baseline"/>
            </w:pPr>
          </w:p>
        </w:tc>
      </w:tr>
      <w:tr w:rsidR="00791F62" w:rsidRPr="00101976" w:rsidTr="00791F62">
        <w:tc>
          <w:tcPr>
            <w:tcW w:w="1764" w:type="dxa"/>
          </w:tcPr>
          <w:p w:rsidR="00791F62" w:rsidRPr="001B4BFF" w:rsidRDefault="00791F62" w:rsidP="001B4BFF">
            <w:pPr>
              <w:spacing w:before="60" w:after="60"/>
              <w:rPr>
                <w:b/>
                <w:color w:val="003366"/>
                <w:sz w:val="18"/>
              </w:rPr>
            </w:pPr>
            <w:r>
              <w:rPr>
                <w:b/>
                <w:color w:val="003366"/>
                <w:sz w:val="18"/>
              </w:rPr>
              <w:t>Dental Insurance</w:t>
            </w:r>
          </w:p>
        </w:tc>
        <w:tc>
          <w:tcPr>
            <w:tcW w:w="9240" w:type="dxa"/>
          </w:tcPr>
          <w:p w:rsidR="00791F62" w:rsidRDefault="00791F62" w:rsidP="00791F62">
            <w:pPr>
              <w:spacing w:after="60"/>
              <w:rPr>
                <w:sz w:val="18"/>
              </w:rPr>
            </w:pPr>
            <w:r>
              <w:rPr>
                <w:sz w:val="18"/>
              </w:rPr>
              <w:t>CSB offers a dental plan, which is fully paid by CSB for full-time employees, through Delta Dental.  Additional dependents added to the plan will be fully paid by the employee.  Employees working more than 30 hours per week will be eligible to enroll the first of the month following the date of hire.  The rates below are based a per bi-weekly pay period employee deduction.</w:t>
            </w:r>
          </w:p>
          <w:tbl>
            <w:tblPr>
              <w:tblStyle w:val="TableGrid"/>
              <w:tblW w:w="0" w:type="auto"/>
              <w:tblInd w:w="2347" w:type="dxa"/>
              <w:tblLook w:val="04A0"/>
            </w:tblPr>
            <w:tblGrid>
              <w:gridCol w:w="1327"/>
              <w:gridCol w:w="1980"/>
            </w:tblGrid>
            <w:tr w:rsidR="00791F62" w:rsidTr="00791F62">
              <w:tc>
                <w:tcPr>
                  <w:tcW w:w="1327" w:type="dxa"/>
                </w:tcPr>
                <w:p w:rsidR="00791F62" w:rsidRDefault="00791F62" w:rsidP="00791F62">
                  <w:pPr>
                    <w:spacing w:before="60" w:after="60"/>
                    <w:rPr>
                      <w:sz w:val="18"/>
                    </w:rPr>
                  </w:pPr>
                  <w:r>
                    <w:rPr>
                      <w:sz w:val="18"/>
                    </w:rPr>
                    <w:t xml:space="preserve">Single </w:t>
                  </w:r>
                </w:p>
              </w:tc>
              <w:tc>
                <w:tcPr>
                  <w:tcW w:w="1980" w:type="dxa"/>
                </w:tcPr>
                <w:p w:rsidR="00791F62" w:rsidRDefault="00791F62" w:rsidP="001B4BFF">
                  <w:pPr>
                    <w:spacing w:before="60" w:after="60"/>
                    <w:rPr>
                      <w:sz w:val="18"/>
                    </w:rPr>
                  </w:pPr>
                  <w:r>
                    <w:rPr>
                      <w:sz w:val="18"/>
                    </w:rPr>
                    <w:t>$0.00</w:t>
                  </w:r>
                </w:p>
              </w:tc>
            </w:tr>
            <w:tr w:rsidR="00791F62" w:rsidTr="00791F62">
              <w:tc>
                <w:tcPr>
                  <w:tcW w:w="1327" w:type="dxa"/>
                </w:tcPr>
                <w:p w:rsidR="00791F62" w:rsidRDefault="00791F62" w:rsidP="001B4BFF">
                  <w:pPr>
                    <w:spacing w:before="60" w:after="60"/>
                    <w:rPr>
                      <w:sz w:val="18"/>
                    </w:rPr>
                  </w:pPr>
                  <w:r>
                    <w:rPr>
                      <w:sz w:val="18"/>
                    </w:rPr>
                    <w:t xml:space="preserve">Two Person </w:t>
                  </w:r>
                </w:p>
              </w:tc>
              <w:tc>
                <w:tcPr>
                  <w:tcW w:w="1980" w:type="dxa"/>
                </w:tcPr>
                <w:p w:rsidR="00791F62" w:rsidRDefault="00791F62" w:rsidP="001B4BFF">
                  <w:pPr>
                    <w:spacing w:before="60" w:after="60"/>
                    <w:rPr>
                      <w:sz w:val="18"/>
                    </w:rPr>
                  </w:pPr>
                  <w:r>
                    <w:rPr>
                      <w:sz w:val="18"/>
                    </w:rPr>
                    <w:t>$20.78</w:t>
                  </w:r>
                </w:p>
              </w:tc>
            </w:tr>
            <w:tr w:rsidR="00791F62" w:rsidTr="00791F62">
              <w:tc>
                <w:tcPr>
                  <w:tcW w:w="1327" w:type="dxa"/>
                </w:tcPr>
                <w:p w:rsidR="00791F62" w:rsidRDefault="00791F62" w:rsidP="001B4BFF">
                  <w:pPr>
                    <w:spacing w:before="60" w:after="60"/>
                    <w:rPr>
                      <w:sz w:val="18"/>
                    </w:rPr>
                  </w:pPr>
                  <w:r>
                    <w:rPr>
                      <w:sz w:val="18"/>
                    </w:rPr>
                    <w:t>Family</w:t>
                  </w:r>
                </w:p>
              </w:tc>
              <w:tc>
                <w:tcPr>
                  <w:tcW w:w="1980" w:type="dxa"/>
                </w:tcPr>
                <w:p w:rsidR="00791F62" w:rsidRDefault="00791F62" w:rsidP="001B4BFF">
                  <w:pPr>
                    <w:spacing w:before="60" w:after="60"/>
                    <w:rPr>
                      <w:sz w:val="18"/>
                    </w:rPr>
                  </w:pPr>
                  <w:r>
                    <w:rPr>
                      <w:sz w:val="18"/>
                    </w:rPr>
                    <w:t>$48.86</w:t>
                  </w:r>
                </w:p>
              </w:tc>
            </w:tr>
          </w:tbl>
          <w:p w:rsidR="00791F62" w:rsidRPr="001B4BFF" w:rsidRDefault="00791F62" w:rsidP="001B4BFF">
            <w:pPr>
              <w:spacing w:before="60" w:after="60"/>
              <w:rPr>
                <w:sz w:val="18"/>
              </w:rPr>
            </w:pPr>
          </w:p>
        </w:tc>
      </w:tr>
      <w:tr w:rsidR="007746FC" w:rsidRPr="00101976" w:rsidTr="007746FC">
        <w:tc>
          <w:tcPr>
            <w:tcW w:w="1764" w:type="dxa"/>
            <w:shd w:val="clear" w:color="auto" w:fill="F2F2F2" w:themeFill="background1" w:themeFillShade="F2"/>
          </w:tcPr>
          <w:p w:rsidR="007746FC" w:rsidRDefault="007746FC" w:rsidP="001B4BFF">
            <w:pPr>
              <w:spacing w:before="60" w:after="60"/>
              <w:rPr>
                <w:b/>
                <w:color w:val="003366"/>
                <w:sz w:val="18"/>
              </w:rPr>
            </w:pPr>
          </w:p>
        </w:tc>
        <w:tc>
          <w:tcPr>
            <w:tcW w:w="9240" w:type="dxa"/>
            <w:shd w:val="clear" w:color="auto" w:fill="F2F2F2" w:themeFill="background1" w:themeFillShade="F2"/>
          </w:tcPr>
          <w:p w:rsidR="007746FC" w:rsidRPr="001B4BFF" w:rsidRDefault="007746FC" w:rsidP="001B4BFF">
            <w:pPr>
              <w:spacing w:before="60" w:after="60"/>
              <w:rPr>
                <w:sz w:val="18"/>
              </w:rPr>
            </w:pPr>
          </w:p>
        </w:tc>
      </w:tr>
      <w:tr w:rsidR="00791F62" w:rsidRPr="00101976" w:rsidTr="00791F62">
        <w:tc>
          <w:tcPr>
            <w:tcW w:w="1764" w:type="dxa"/>
          </w:tcPr>
          <w:p w:rsidR="00791F62" w:rsidRPr="001B4BFF" w:rsidRDefault="007746FC" w:rsidP="007746FC">
            <w:pPr>
              <w:spacing w:before="60" w:after="60"/>
              <w:rPr>
                <w:b/>
                <w:color w:val="003366"/>
                <w:sz w:val="18"/>
              </w:rPr>
            </w:pPr>
            <w:r>
              <w:rPr>
                <w:b/>
                <w:color w:val="003366"/>
                <w:sz w:val="18"/>
              </w:rPr>
              <w:t>Flexible Spending Accounts</w:t>
            </w:r>
          </w:p>
        </w:tc>
        <w:tc>
          <w:tcPr>
            <w:tcW w:w="9240" w:type="dxa"/>
          </w:tcPr>
          <w:p w:rsidR="0022124F" w:rsidRDefault="007746FC" w:rsidP="0022124F">
            <w:pPr>
              <w:spacing w:before="60" w:after="60"/>
              <w:rPr>
                <w:sz w:val="18"/>
              </w:rPr>
            </w:pPr>
            <w:r>
              <w:rPr>
                <w:sz w:val="18"/>
              </w:rPr>
              <w:t xml:space="preserve">The flexible </w:t>
            </w:r>
            <w:r w:rsidR="005840B0">
              <w:rPr>
                <w:sz w:val="18"/>
              </w:rPr>
              <w:t>spending</w:t>
            </w:r>
            <w:r>
              <w:rPr>
                <w:sz w:val="18"/>
              </w:rPr>
              <w:t xml:space="preserve"> account is fully funded by the employee.  Employees may contribute pre-tax money for dental, </w:t>
            </w:r>
            <w:proofErr w:type="gramStart"/>
            <w:r>
              <w:rPr>
                <w:sz w:val="18"/>
              </w:rPr>
              <w:t>vision,</w:t>
            </w:r>
            <w:proofErr w:type="gramEnd"/>
            <w:r>
              <w:rPr>
                <w:sz w:val="18"/>
              </w:rPr>
              <w:t xml:space="preserve"> other eligible medical expenses for the employee or any of his/her dependents.  Pre-tax contributions may also be used to pay for child care expenses.  </w:t>
            </w:r>
          </w:p>
          <w:p w:rsidR="00791F62" w:rsidRPr="001B4BFF" w:rsidRDefault="0022124F" w:rsidP="0022124F">
            <w:pPr>
              <w:spacing w:before="60" w:after="60"/>
              <w:rPr>
                <w:sz w:val="18"/>
              </w:rPr>
            </w:pPr>
            <w:r>
              <w:rPr>
                <w:sz w:val="18"/>
              </w:rPr>
              <w:t xml:space="preserve">Employees enrolled in a Health Savings Account are not eligible to enroll in the Medical Flexible Spending Account.  Employees working more than 30 hours per week will be eligible to enroll the first of the month following the date of hire.  </w:t>
            </w:r>
          </w:p>
        </w:tc>
      </w:tr>
      <w:tr w:rsidR="0022124F" w:rsidRPr="00101976" w:rsidTr="0022124F">
        <w:tc>
          <w:tcPr>
            <w:tcW w:w="1764" w:type="dxa"/>
            <w:shd w:val="clear" w:color="auto" w:fill="F2F2F2" w:themeFill="background1" w:themeFillShade="F2"/>
          </w:tcPr>
          <w:p w:rsidR="0022124F" w:rsidRPr="001B4BFF" w:rsidRDefault="0022124F" w:rsidP="001B4BFF">
            <w:pPr>
              <w:spacing w:before="60" w:after="60"/>
              <w:rPr>
                <w:b/>
                <w:color w:val="003366"/>
                <w:sz w:val="18"/>
              </w:rPr>
            </w:pPr>
          </w:p>
        </w:tc>
        <w:tc>
          <w:tcPr>
            <w:tcW w:w="9240" w:type="dxa"/>
            <w:shd w:val="clear" w:color="auto" w:fill="F2F2F2" w:themeFill="background1" w:themeFillShade="F2"/>
          </w:tcPr>
          <w:p w:rsidR="0022124F" w:rsidRPr="001B4BFF" w:rsidRDefault="0022124F" w:rsidP="001B4BFF">
            <w:pPr>
              <w:spacing w:before="60" w:after="60"/>
              <w:rPr>
                <w:sz w:val="18"/>
              </w:rPr>
            </w:pPr>
          </w:p>
        </w:tc>
      </w:tr>
      <w:tr w:rsidR="00791F62" w:rsidRPr="00101976" w:rsidTr="00791F62">
        <w:tc>
          <w:tcPr>
            <w:tcW w:w="1764" w:type="dxa"/>
          </w:tcPr>
          <w:p w:rsidR="00791F62" w:rsidRPr="001B4BFF" w:rsidRDefault="0022124F" w:rsidP="001B4BFF">
            <w:pPr>
              <w:spacing w:before="60" w:after="60"/>
              <w:rPr>
                <w:b/>
                <w:color w:val="003366"/>
                <w:sz w:val="18"/>
              </w:rPr>
            </w:pPr>
            <w:r>
              <w:rPr>
                <w:b/>
                <w:color w:val="003366"/>
                <w:sz w:val="18"/>
              </w:rPr>
              <w:t>Short Term Disability</w:t>
            </w:r>
          </w:p>
        </w:tc>
        <w:tc>
          <w:tcPr>
            <w:tcW w:w="9240" w:type="dxa"/>
          </w:tcPr>
          <w:p w:rsidR="0022124F" w:rsidRDefault="0022124F" w:rsidP="0022124F">
            <w:pPr>
              <w:spacing w:before="60" w:after="60"/>
              <w:rPr>
                <w:sz w:val="18"/>
              </w:rPr>
            </w:pPr>
            <w:r>
              <w:rPr>
                <w:sz w:val="18"/>
              </w:rPr>
              <w:t xml:space="preserve">CSB Offers Short Term Disability (STD) at no cost to employees.  STD benefits begin after the fifth consecutive work day of an illness and the first day following an accident.  STD benefits are paid at 75% of the employee’s bi-weekly rate.  STD continues for three months.  </w:t>
            </w:r>
          </w:p>
          <w:p w:rsidR="00791F62" w:rsidRPr="001B4BFF" w:rsidRDefault="0022124F" w:rsidP="00386A52">
            <w:pPr>
              <w:spacing w:before="60" w:after="60"/>
              <w:rPr>
                <w:sz w:val="18"/>
              </w:rPr>
            </w:pPr>
            <w:r>
              <w:rPr>
                <w:sz w:val="18"/>
              </w:rPr>
              <w:t xml:space="preserve">Employees working more than 30 hours per week will be eligible for STD benefits on the first of the month following </w:t>
            </w:r>
            <w:r w:rsidR="00386A52">
              <w:rPr>
                <w:sz w:val="18"/>
              </w:rPr>
              <w:t>one year</w:t>
            </w:r>
            <w:r>
              <w:rPr>
                <w:sz w:val="18"/>
              </w:rPr>
              <w:t xml:space="preserve"> from the date of hire.  </w:t>
            </w:r>
          </w:p>
        </w:tc>
      </w:tr>
      <w:tr w:rsidR="0022124F" w:rsidRPr="00101976" w:rsidTr="0022124F">
        <w:tc>
          <w:tcPr>
            <w:tcW w:w="1764" w:type="dxa"/>
            <w:shd w:val="clear" w:color="auto" w:fill="F2F2F2" w:themeFill="background1" w:themeFillShade="F2"/>
          </w:tcPr>
          <w:p w:rsidR="0022124F" w:rsidRPr="001B4BFF" w:rsidRDefault="0022124F" w:rsidP="001B4BFF">
            <w:pPr>
              <w:spacing w:before="60" w:after="60"/>
              <w:rPr>
                <w:b/>
                <w:color w:val="003366"/>
                <w:sz w:val="18"/>
              </w:rPr>
            </w:pPr>
          </w:p>
        </w:tc>
        <w:tc>
          <w:tcPr>
            <w:tcW w:w="9240" w:type="dxa"/>
            <w:shd w:val="clear" w:color="auto" w:fill="F2F2F2" w:themeFill="background1" w:themeFillShade="F2"/>
          </w:tcPr>
          <w:p w:rsidR="0022124F" w:rsidRPr="001B4BFF" w:rsidRDefault="0022124F" w:rsidP="001B4BFF">
            <w:pPr>
              <w:spacing w:before="60" w:after="60"/>
              <w:rPr>
                <w:sz w:val="18"/>
              </w:rPr>
            </w:pPr>
          </w:p>
        </w:tc>
      </w:tr>
      <w:tr w:rsidR="00791F62" w:rsidRPr="00101976" w:rsidTr="00791F62">
        <w:tc>
          <w:tcPr>
            <w:tcW w:w="1764" w:type="dxa"/>
          </w:tcPr>
          <w:p w:rsidR="00791F62" w:rsidRPr="001B4BFF" w:rsidRDefault="0022124F" w:rsidP="001B4BFF">
            <w:pPr>
              <w:spacing w:before="60" w:after="60"/>
              <w:rPr>
                <w:b/>
                <w:color w:val="003366"/>
                <w:sz w:val="18"/>
              </w:rPr>
            </w:pPr>
            <w:r>
              <w:rPr>
                <w:b/>
                <w:color w:val="003366"/>
                <w:sz w:val="18"/>
              </w:rPr>
              <w:t>Long Term Disability</w:t>
            </w:r>
          </w:p>
        </w:tc>
        <w:tc>
          <w:tcPr>
            <w:tcW w:w="9240" w:type="dxa"/>
          </w:tcPr>
          <w:p w:rsidR="0022124F" w:rsidRDefault="0022124F" w:rsidP="0022124F">
            <w:pPr>
              <w:spacing w:before="60" w:after="60"/>
              <w:rPr>
                <w:sz w:val="18"/>
              </w:rPr>
            </w:pPr>
            <w:r>
              <w:rPr>
                <w:sz w:val="18"/>
              </w:rPr>
              <w:t xml:space="preserve">CSB Offers Long Term Disability (LTD) at no cost to employees.  LTD benefits begin after STD benefits have expired.  LTD benefits are paid at 60% of the employee’s monthly rate.    </w:t>
            </w:r>
          </w:p>
          <w:p w:rsidR="00791F62" w:rsidRPr="001B4BFF" w:rsidRDefault="0022124F" w:rsidP="00386A52">
            <w:pPr>
              <w:spacing w:before="60" w:after="60"/>
              <w:rPr>
                <w:sz w:val="18"/>
              </w:rPr>
            </w:pPr>
            <w:r>
              <w:rPr>
                <w:sz w:val="18"/>
              </w:rPr>
              <w:t xml:space="preserve">Employees working more than 30 hours per week will be eligible for STD benefits on the first of the month following </w:t>
            </w:r>
            <w:r w:rsidR="00386A52">
              <w:rPr>
                <w:sz w:val="18"/>
              </w:rPr>
              <w:t>one year</w:t>
            </w:r>
            <w:r>
              <w:rPr>
                <w:sz w:val="18"/>
              </w:rPr>
              <w:t xml:space="preserve"> from the date of hire.  </w:t>
            </w:r>
          </w:p>
        </w:tc>
      </w:tr>
      <w:tr w:rsidR="0022124F" w:rsidRPr="00101976" w:rsidTr="0022124F">
        <w:tc>
          <w:tcPr>
            <w:tcW w:w="1764" w:type="dxa"/>
            <w:shd w:val="clear" w:color="auto" w:fill="F2F2F2" w:themeFill="background1" w:themeFillShade="F2"/>
          </w:tcPr>
          <w:p w:rsidR="0022124F" w:rsidRPr="001B4BFF" w:rsidRDefault="0022124F" w:rsidP="001B4BFF">
            <w:pPr>
              <w:spacing w:before="60" w:after="60"/>
              <w:rPr>
                <w:b/>
                <w:color w:val="003366"/>
                <w:sz w:val="18"/>
              </w:rPr>
            </w:pPr>
          </w:p>
        </w:tc>
        <w:tc>
          <w:tcPr>
            <w:tcW w:w="9240" w:type="dxa"/>
            <w:shd w:val="clear" w:color="auto" w:fill="F2F2F2" w:themeFill="background1" w:themeFillShade="F2"/>
          </w:tcPr>
          <w:p w:rsidR="0022124F" w:rsidRPr="001B4BFF" w:rsidRDefault="0022124F" w:rsidP="001B4BFF">
            <w:pPr>
              <w:spacing w:before="60" w:after="60"/>
              <w:rPr>
                <w:sz w:val="18"/>
              </w:rPr>
            </w:pPr>
          </w:p>
        </w:tc>
      </w:tr>
      <w:tr w:rsidR="00791F62" w:rsidRPr="00101976" w:rsidTr="00791F62">
        <w:tc>
          <w:tcPr>
            <w:tcW w:w="1764" w:type="dxa"/>
          </w:tcPr>
          <w:p w:rsidR="00791F62" w:rsidRPr="001B4BFF" w:rsidRDefault="0022124F" w:rsidP="001B4BFF">
            <w:pPr>
              <w:spacing w:before="60" w:after="60"/>
              <w:rPr>
                <w:b/>
                <w:color w:val="003366"/>
                <w:sz w:val="18"/>
              </w:rPr>
            </w:pPr>
            <w:r>
              <w:rPr>
                <w:b/>
                <w:color w:val="003366"/>
                <w:sz w:val="18"/>
              </w:rPr>
              <w:t>Life Insurance</w:t>
            </w:r>
          </w:p>
        </w:tc>
        <w:tc>
          <w:tcPr>
            <w:tcW w:w="9240" w:type="dxa"/>
          </w:tcPr>
          <w:p w:rsidR="00791F62" w:rsidRPr="001B4BFF" w:rsidRDefault="0022124F" w:rsidP="00B4464E">
            <w:pPr>
              <w:spacing w:before="60" w:after="60"/>
              <w:rPr>
                <w:sz w:val="18"/>
              </w:rPr>
            </w:pPr>
            <w:r>
              <w:rPr>
                <w:sz w:val="18"/>
              </w:rPr>
              <w:t xml:space="preserve">CSB provides each employee, working more than 30 hours per week, life insurance coverage </w:t>
            </w:r>
            <w:r w:rsidR="005840B0">
              <w:rPr>
                <w:sz w:val="18"/>
              </w:rPr>
              <w:t xml:space="preserve">at </w:t>
            </w:r>
            <w:r>
              <w:rPr>
                <w:sz w:val="18"/>
              </w:rPr>
              <w:t>two times their annual base salary</w:t>
            </w:r>
            <w:r w:rsidR="00B4464E">
              <w:rPr>
                <w:sz w:val="18"/>
              </w:rPr>
              <w:t xml:space="preserve"> and ADD coverage at three times their annual base salary.  </w:t>
            </w:r>
            <w:r>
              <w:rPr>
                <w:sz w:val="18"/>
              </w:rPr>
              <w:t xml:space="preserve">There is no cost to the employee.  </w:t>
            </w:r>
            <w:r w:rsidR="004F7C73">
              <w:rPr>
                <w:sz w:val="18"/>
              </w:rPr>
              <w:t xml:space="preserve">Employees working more than 30 hours per week will be eligible the first of the month following </w:t>
            </w:r>
            <w:r w:rsidR="00386A52">
              <w:rPr>
                <w:sz w:val="18"/>
              </w:rPr>
              <w:t xml:space="preserve">three months from </w:t>
            </w:r>
            <w:r w:rsidR="004F7C73">
              <w:rPr>
                <w:sz w:val="18"/>
              </w:rPr>
              <w:t xml:space="preserve">the date of hire.  </w:t>
            </w:r>
          </w:p>
        </w:tc>
      </w:tr>
      <w:tr w:rsidR="004F7C73" w:rsidRPr="00101976" w:rsidTr="004F7C73">
        <w:tc>
          <w:tcPr>
            <w:tcW w:w="1764" w:type="dxa"/>
            <w:shd w:val="clear" w:color="auto" w:fill="F2F2F2" w:themeFill="background1" w:themeFillShade="F2"/>
          </w:tcPr>
          <w:p w:rsidR="004F7C73" w:rsidRPr="001B4BFF" w:rsidRDefault="004F7C73" w:rsidP="001B4BFF">
            <w:pPr>
              <w:spacing w:before="60" w:after="60"/>
              <w:rPr>
                <w:b/>
                <w:color w:val="003366"/>
                <w:sz w:val="18"/>
              </w:rPr>
            </w:pPr>
          </w:p>
        </w:tc>
        <w:tc>
          <w:tcPr>
            <w:tcW w:w="9240" w:type="dxa"/>
            <w:shd w:val="clear" w:color="auto" w:fill="F2F2F2" w:themeFill="background1" w:themeFillShade="F2"/>
          </w:tcPr>
          <w:p w:rsidR="004F7C73" w:rsidRPr="001B4BFF" w:rsidRDefault="004F7C73" w:rsidP="001B4BFF">
            <w:pPr>
              <w:spacing w:before="60" w:after="60"/>
              <w:rPr>
                <w:sz w:val="18"/>
              </w:rPr>
            </w:pPr>
          </w:p>
        </w:tc>
      </w:tr>
      <w:tr w:rsidR="00791F62" w:rsidRPr="00101976" w:rsidTr="00791F62">
        <w:tc>
          <w:tcPr>
            <w:tcW w:w="1764" w:type="dxa"/>
          </w:tcPr>
          <w:p w:rsidR="00791F62" w:rsidRPr="001B4BFF" w:rsidRDefault="004F7C73" w:rsidP="001B4BFF">
            <w:pPr>
              <w:spacing w:before="60" w:after="60"/>
              <w:rPr>
                <w:b/>
                <w:color w:val="003366"/>
                <w:sz w:val="18"/>
              </w:rPr>
            </w:pPr>
            <w:r>
              <w:rPr>
                <w:b/>
                <w:color w:val="003366"/>
                <w:sz w:val="18"/>
              </w:rPr>
              <w:t>Supplemental Life Insurance</w:t>
            </w:r>
          </w:p>
        </w:tc>
        <w:tc>
          <w:tcPr>
            <w:tcW w:w="9240" w:type="dxa"/>
          </w:tcPr>
          <w:p w:rsidR="00791F62" w:rsidRPr="001B4BFF" w:rsidRDefault="004F7C73" w:rsidP="001B4BFF">
            <w:pPr>
              <w:spacing w:before="60" w:after="60"/>
              <w:rPr>
                <w:sz w:val="18"/>
              </w:rPr>
            </w:pPr>
            <w:r>
              <w:rPr>
                <w:sz w:val="18"/>
              </w:rPr>
              <w:t>CSB offers Supplemental Life Insurance, at a discounted rate through The Hartford.  All employees are eligible to enroll the first of the month following the date of hire.</w:t>
            </w:r>
          </w:p>
        </w:tc>
      </w:tr>
      <w:tr w:rsidR="004F7C73" w:rsidRPr="00101976" w:rsidTr="004F7C73">
        <w:tc>
          <w:tcPr>
            <w:tcW w:w="1764" w:type="dxa"/>
            <w:shd w:val="clear" w:color="auto" w:fill="F2F2F2" w:themeFill="background1" w:themeFillShade="F2"/>
          </w:tcPr>
          <w:p w:rsidR="004F7C73" w:rsidRPr="001B4BFF" w:rsidRDefault="004F7C73" w:rsidP="001B4BFF">
            <w:pPr>
              <w:spacing w:before="60" w:after="60"/>
              <w:rPr>
                <w:b/>
                <w:color w:val="003366"/>
                <w:sz w:val="18"/>
              </w:rPr>
            </w:pPr>
          </w:p>
        </w:tc>
        <w:tc>
          <w:tcPr>
            <w:tcW w:w="9240" w:type="dxa"/>
            <w:shd w:val="clear" w:color="auto" w:fill="F2F2F2" w:themeFill="background1" w:themeFillShade="F2"/>
          </w:tcPr>
          <w:p w:rsidR="004F7C73" w:rsidRPr="001B4BFF" w:rsidRDefault="004F7C73" w:rsidP="001B4BFF">
            <w:pPr>
              <w:spacing w:before="60" w:after="60"/>
              <w:rPr>
                <w:sz w:val="18"/>
              </w:rPr>
            </w:pPr>
          </w:p>
        </w:tc>
      </w:tr>
      <w:tr w:rsidR="00791F62" w:rsidRPr="00101976" w:rsidTr="00791F62">
        <w:tc>
          <w:tcPr>
            <w:tcW w:w="1764" w:type="dxa"/>
          </w:tcPr>
          <w:p w:rsidR="00791F62" w:rsidRPr="001B4BFF" w:rsidRDefault="004F7C73" w:rsidP="001B4BFF">
            <w:pPr>
              <w:spacing w:before="60" w:after="60"/>
              <w:rPr>
                <w:b/>
                <w:color w:val="003366"/>
                <w:sz w:val="18"/>
              </w:rPr>
            </w:pPr>
            <w:r>
              <w:rPr>
                <w:b/>
                <w:color w:val="003366"/>
                <w:sz w:val="18"/>
              </w:rPr>
              <w:t>AFLAC</w:t>
            </w:r>
          </w:p>
        </w:tc>
        <w:tc>
          <w:tcPr>
            <w:tcW w:w="9240" w:type="dxa"/>
          </w:tcPr>
          <w:p w:rsidR="00791F62" w:rsidRPr="001B4BFF" w:rsidRDefault="004F7C73" w:rsidP="004F7C73">
            <w:pPr>
              <w:spacing w:after="60"/>
              <w:rPr>
                <w:sz w:val="18"/>
              </w:rPr>
            </w:pPr>
            <w:r>
              <w:rPr>
                <w:sz w:val="18"/>
              </w:rPr>
              <w:t>The first of the month following an employee’s date of hire, he/she is eligible to enroll in the supplemental insurance plans offered through AFLAC.  The supplemental plans include an accident plan, a cancer plan and a hospitalization plan.  All plans are fully funded by the employee.</w:t>
            </w:r>
          </w:p>
        </w:tc>
      </w:tr>
    </w:tbl>
    <w:p w:rsidR="004F7C73" w:rsidRDefault="004F7C73">
      <w:r>
        <w:br w:type="page"/>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752"/>
        <w:gridCol w:w="9120"/>
      </w:tblGrid>
      <w:tr w:rsidR="00791F62" w:rsidRPr="00101976" w:rsidTr="00791F62">
        <w:tc>
          <w:tcPr>
            <w:tcW w:w="1764" w:type="dxa"/>
          </w:tcPr>
          <w:p w:rsidR="00791F62" w:rsidRPr="001B4BFF" w:rsidRDefault="00507F59" w:rsidP="001B4BFF">
            <w:pPr>
              <w:spacing w:before="60" w:after="60"/>
              <w:rPr>
                <w:b/>
                <w:color w:val="003366"/>
                <w:sz w:val="18"/>
              </w:rPr>
            </w:pPr>
            <w:r>
              <w:rPr>
                <w:b/>
                <w:color w:val="003366"/>
                <w:sz w:val="18"/>
              </w:rPr>
              <w:lastRenderedPageBreak/>
              <w:t>401(k) Retirement Plan</w:t>
            </w:r>
          </w:p>
        </w:tc>
        <w:tc>
          <w:tcPr>
            <w:tcW w:w="9240" w:type="dxa"/>
          </w:tcPr>
          <w:p w:rsidR="00791F62" w:rsidRPr="001B4BFF" w:rsidRDefault="00507F59" w:rsidP="00507F59">
            <w:pPr>
              <w:spacing w:before="60" w:after="60"/>
              <w:rPr>
                <w:sz w:val="18"/>
              </w:rPr>
            </w:pPr>
            <w:r>
              <w:rPr>
                <w:sz w:val="18"/>
              </w:rPr>
              <w:t xml:space="preserve">The CSB 401(k) and profit sharing plan offers several funds for investments.  Employees are eligible to enroll at the quarterly entry date following three months of employment.  Employees may contribute to the plan on a pre-tax basis.  After one year of service, CSB may match a pre-determined percentage of the employees’ contributions each year. In addition, depending on the profitability of the bank, there may be a profit sharing distribution.  </w:t>
            </w:r>
          </w:p>
        </w:tc>
      </w:tr>
      <w:tr w:rsidR="00E216D9" w:rsidRPr="00101976" w:rsidTr="00E216D9">
        <w:tc>
          <w:tcPr>
            <w:tcW w:w="1764" w:type="dxa"/>
            <w:shd w:val="clear" w:color="auto" w:fill="F2F2F2" w:themeFill="background1" w:themeFillShade="F2"/>
          </w:tcPr>
          <w:p w:rsidR="00E216D9" w:rsidRPr="001B4BFF" w:rsidRDefault="00E216D9" w:rsidP="001B4BFF">
            <w:pPr>
              <w:spacing w:before="60" w:after="60"/>
              <w:rPr>
                <w:b/>
                <w:color w:val="003366"/>
                <w:sz w:val="18"/>
              </w:rPr>
            </w:pPr>
          </w:p>
        </w:tc>
        <w:tc>
          <w:tcPr>
            <w:tcW w:w="9240" w:type="dxa"/>
            <w:shd w:val="clear" w:color="auto" w:fill="F2F2F2" w:themeFill="background1" w:themeFillShade="F2"/>
          </w:tcPr>
          <w:p w:rsidR="00E216D9" w:rsidRPr="001B4BFF" w:rsidRDefault="00E216D9" w:rsidP="001B4BFF">
            <w:pPr>
              <w:spacing w:before="60" w:after="60"/>
              <w:rPr>
                <w:sz w:val="18"/>
              </w:rPr>
            </w:pPr>
          </w:p>
        </w:tc>
      </w:tr>
      <w:tr w:rsidR="00791F62" w:rsidRPr="00101976" w:rsidTr="00791F62">
        <w:tc>
          <w:tcPr>
            <w:tcW w:w="1764" w:type="dxa"/>
          </w:tcPr>
          <w:p w:rsidR="00791F62" w:rsidRPr="001B4BFF" w:rsidRDefault="009E767E" w:rsidP="001B4BFF">
            <w:pPr>
              <w:spacing w:before="60" w:after="60"/>
              <w:rPr>
                <w:b/>
                <w:color w:val="003366"/>
                <w:sz w:val="18"/>
              </w:rPr>
            </w:pPr>
            <w:r>
              <w:rPr>
                <w:b/>
                <w:color w:val="003366"/>
                <w:sz w:val="18"/>
              </w:rPr>
              <w:t>Paid Time Off</w:t>
            </w:r>
          </w:p>
        </w:tc>
        <w:tc>
          <w:tcPr>
            <w:tcW w:w="9240" w:type="dxa"/>
          </w:tcPr>
          <w:p w:rsidR="009E767E" w:rsidRDefault="009E767E" w:rsidP="001B4BFF">
            <w:pPr>
              <w:spacing w:before="60" w:after="60"/>
              <w:rPr>
                <w:sz w:val="18"/>
              </w:rPr>
            </w:pPr>
            <w:r>
              <w:rPr>
                <w:sz w:val="18"/>
              </w:rPr>
              <w:t xml:space="preserve">CSB combines its vacation, personal and sick time into one category called Paid Time Off (PTO) with the intent that seven days will be saved for any sick that may be needed.  PTO Is based on years of service and is accrued bi-weekly.  </w:t>
            </w:r>
            <w:r w:rsidR="00FA6958">
              <w:rPr>
                <w:sz w:val="18"/>
              </w:rPr>
              <w:t xml:space="preserve">PTO is accrued based on the number of hours worked per payroll.  </w:t>
            </w:r>
            <w:r>
              <w:rPr>
                <w:sz w:val="18"/>
              </w:rPr>
              <w:t xml:space="preserve">Employees begin earning PTO at hire, but are eligible to use PTO following 3 months of service.  </w:t>
            </w:r>
            <w:r w:rsidR="00FA6958">
              <w:rPr>
                <w:sz w:val="18"/>
              </w:rPr>
              <w:t xml:space="preserve">  Provided an employee worked 80 hours per payroll the calculation would be:</w:t>
            </w:r>
          </w:p>
          <w:tbl>
            <w:tblPr>
              <w:tblStyle w:val="TableGrid"/>
              <w:tblW w:w="0" w:type="auto"/>
              <w:tblLook w:val="04A0"/>
            </w:tblPr>
            <w:tblGrid>
              <w:gridCol w:w="2962"/>
              <w:gridCol w:w="2962"/>
              <w:gridCol w:w="2962"/>
            </w:tblGrid>
            <w:tr w:rsidR="009E767E" w:rsidTr="009E767E">
              <w:tc>
                <w:tcPr>
                  <w:tcW w:w="2962" w:type="dxa"/>
                </w:tcPr>
                <w:p w:rsidR="009E767E" w:rsidRDefault="009E767E" w:rsidP="001B4BFF">
                  <w:pPr>
                    <w:spacing w:before="60" w:after="60"/>
                    <w:rPr>
                      <w:sz w:val="18"/>
                    </w:rPr>
                  </w:pPr>
                </w:p>
              </w:tc>
              <w:tc>
                <w:tcPr>
                  <w:tcW w:w="2962" w:type="dxa"/>
                </w:tcPr>
                <w:p w:rsidR="009E767E" w:rsidRDefault="009E767E" w:rsidP="001B4BFF">
                  <w:pPr>
                    <w:spacing w:before="60" w:after="60"/>
                    <w:rPr>
                      <w:sz w:val="18"/>
                    </w:rPr>
                  </w:pPr>
                  <w:r>
                    <w:rPr>
                      <w:sz w:val="18"/>
                    </w:rPr>
                    <w:t>Bi-Weekly Accrual</w:t>
                  </w:r>
                </w:p>
              </w:tc>
              <w:tc>
                <w:tcPr>
                  <w:tcW w:w="2962" w:type="dxa"/>
                </w:tcPr>
                <w:p w:rsidR="009E767E" w:rsidRDefault="009E767E" w:rsidP="001B4BFF">
                  <w:pPr>
                    <w:spacing w:before="60" w:after="60"/>
                    <w:rPr>
                      <w:sz w:val="18"/>
                    </w:rPr>
                  </w:pPr>
                  <w:r>
                    <w:rPr>
                      <w:sz w:val="18"/>
                    </w:rPr>
                    <w:t>Annual Accrual</w:t>
                  </w:r>
                </w:p>
              </w:tc>
            </w:tr>
            <w:tr w:rsidR="009E767E" w:rsidTr="009E767E">
              <w:tc>
                <w:tcPr>
                  <w:tcW w:w="2962" w:type="dxa"/>
                </w:tcPr>
                <w:p w:rsidR="009E767E" w:rsidRDefault="00386A52" w:rsidP="001B4BFF">
                  <w:pPr>
                    <w:spacing w:before="60" w:after="60"/>
                    <w:rPr>
                      <w:sz w:val="18"/>
                    </w:rPr>
                  </w:pPr>
                  <w:r>
                    <w:rPr>
                      <w:sz w:val="18"/>
                    </w:rPr>
                    <w:t>0-</w:t>
                  </w:r>
                  <w:r w:rsidR="009E767E">
                    <w:rPr>
                      <w:sz w:val="18"/>
                    </w:rPr>
                    <w:t>4 years</w:t>
                  </w:r>
                </w:p>
              </w:tc>
              <w:tc>
                <w:tcPr>
                  <w:tcW w:w="2962" w:type="dxa"/>
                </w:tcPr>
                <w:p w:rsidR="009E767E" w:rsidRDefault="00386A52" w:rsidP="001B4BFF">
                  <w:pPr>
                    <w:spacing w:before="60" w:after="60"/>
                    <w:rPr>
                      <w:sz w:val="18"/>
                    </w:rPr>
                  </w:pPr>
                  <w:r>
                    <w:rPr>
                      <w:sz w:val="18"/>
                    </w:rPr>
                    <w:t xml:space="preserve">6.15 </w:t>
                  </w:r>
                  <w:r w:rsidR="009E767E">
                    <w:rPr>
                      <w:sz w:val="18"/>
                    </w:rPr>
                    <w:t>Hours</w:t>
                  </w:r>
                </w:p>
              </w:tc>
              <w:tc>
                <w:tcPr>
                  <w:tcW w:w="2962" w:type="dxa"/>
                </w:tcPr>
                <w:p w:rsidR="009E767E" w:rsidRDefault="00386A52" w:rsidP="001B4BFF">
                  <w:pPr>
                    <w:spacing w:before="60" w:after="60"/>
                    <w:rPr>
                      <w:sz w:val="18"/>
                    </w:rPr>
                  </w:pPr>
                  <w:r>
                    <w:rPr>
                      <w:sz w:val="18"/>
                    </w:rPr>
                    <w:t>160 Hours/20</w:t>
                  </w:r>
                  <w:r w:rsidR="009E767E">
                    <w:rPr>
                      <w:sz w:val="18"/>
                    </w:rPr>
                    <w:t xml:space="preserve"> Days</w:t>
                  </w:r>
                </w:p>
              </w:tc>
            </w:tr>
            <w:tr w:rsidR="009E767E" w:rsidTr="009E767E">
              <w:tc>
                <w:tcPr>
                  <w:tcW w:w="2962" w:type="dxa"/>
                </w:tcPr>
                <w:p w:rsidR="009E767E" w:rsidRDefault="00386A52" w:rsidP="001B4BFF">
                  <w:pPr>
                    <w:spacing w:before="60" w:after="60"/>
                    <w:rPr>
                      <w:sz w:val="18"/>
                    </w:rPr>
                  </w:pPr>
                  <w:r>
                    <w:rPr>
                      <w:sz w:val="18"/>
                    </w:rPr>
                    <w:t>5-1</w:t>
                  </w:r>
                  <w:r w:rsidR="009E767E">
                    <w:rPr>
                      <w:sz w:val="18"/>
                    </w:rPr>
                    <w:t>4 Years</w:t>
                  </w:r>
                </w:p>
              </w:tc>
              <w:tc>
                <w:tcPr>
                  <w:tcW w:w="2962" w:type="dxa"/>
                </w:tcPr>
                <w:p w:rsidR="009E767E" w:rsidRDefault="00386A52" w:rsidP="001B4BFF">
                  <w:pPr>
                    <w:spacing w:before="60" w:after="60"/>
                    <w:rPr>
                      <w:sz w:val="18"/>
                    </w:rPr>
                  </w:pPr>
                  <w:r>
                    <w:rPr>
                      <w:sz w:val="18"/>
                    </w:rPr>
                    <w:t xml:space="preserve">7.7 </w:t>
                  </w:r>
                  <w:r w:rsidR="009E767E">
                    <w:rPr>
                      <w:sz w:val="18"/>
                    </w:rPr>
                    <w:t>Hours</w:t>
                  </w:r>
                </w:p>
              </w:tc>
              <w:tc>
                <w:tcPr>
                  <w:tcW w:w="2962" w:type="dxa"/>
                </w:tcPr>
                <w:p w:rsidR="009E767E" w:rsidRDefault="00386A52" w:rsidP="00386A52">
                  <w:pPr>
                    <w:spacing w:before="60" w:after="60"/>
                    <w:rPr>
                      <w:sz w:val="18"/>
                    </w:rPr>
                  </w:pPr>
                  <w:r>
                    <w:rPr>
                      <w:sz w:val="18"/>
                    </w:rPr>
                    <w:t>20</w:t>
                  </w:r>
                  <w:r w:rsidR="009E767E">
                    <w:rPr>
                      <w:sz w:val="18"/>
                    </w:rPr>
                    <w:t>0 Hours/</w:t>
                  </w:r>
                  <w:r>
                    <w:rPr>
                      <w:sz w:val="18"/>
                    </w:rPr>
                    <w:t>25</w:t>
                  </w:r>
                  <w:r w:rsidR="009E767E">
                    <w:rPr>
                      <w:sz w:val="18"/>
                    </w:rPr>
                    <w:t xml:space="preserve"> Days</w:t>
                  </w:r>
                </w:p>
              </w:tc>
            </w:tr>
            <w:tr w:rsidR="009E767E" w:rsidTr="009E767E">
              <w:tc>
                <w:tcPr>
                  <w:tcW w:w="2962" w:type="dxa"/>
                </w:tcPr>
                <w:p w:rsidR="009E767E" w:rsidRDefault="00386A52" w:rsidP="00386A52">
                  <w:pPr>
                    <w:spacing w:before="60" w:after="60"/>
                    <w:rPr>
                      <w:sz w:val="18"/>
                    </w:rPr>
                  </w:pPr>
                  <w:r>
                    <w:rPr>
                      <w:sz w:val="18"/>
                    </w:rPr>
                    <w:t>1</w:t>
                  </w:r>
                  <w:r w:rsidR="009E767E">
                    <w:rPr>
                      <w:sz w:val="18"/>
                    </w:rPr>
                    <w:t>5-</w:t>
                  </w:r>
                  <w:r>
                    <w:rPr>
                      <w:sz w:val="18"/>
                    </w:rPr>
                    <w:t>2</w:t>
                  </w:r>
                  <w:r w:rsidR="009E767E">
                    <w:rPr>
                      <w:sz w:val="18"/>
                    </w:rPr>
                    <w:t>4 Years</w:t>
                  </w:r>
                </w:p>
              </w:tc>
              <w:tc>
                <w:tcPr>
                  <w:tcW w:w="2962" w:type="dxa"/>
                </w:tcPr>
                <w:p w:rsidR="009E767E" w:rsidRDefault="00386A52" w:rsidP="001B4BFF">
                  <w:pPr>
                    <w:spacing w:before="60" w:after="60"/>
                    <w:rPr>
                      <w:sz w:val="18"/>
                    </w:rPr>
                  </w:pPr>
                  <w:r>
                    <w:rPr>
                      <w:sz w:val="18"/>
                    </w:rPr>
                    <w:t xml:space="preserve">9.23 </w:t>
                  </w:r>
                  <w:r w:rsidR="009E767E">
                    <w:rPr>
                      <w:sz w:val="18"/>
                    </w:rPr>
                    <w:t xml:space="preserve"> Hours</w:t>
                  </w:r>
                </w:p>
              </w:tc>
              <w:tc>
                <w:tcPr>
                  <w:tcW w:w="2962" w:type="dxa"/>
                </w:tcPr>
                <w:p w:rsidR="009E767E" w:rsidRDefault="009E767E" w:rsidP="00386A52">
                  <w:pPr>
                    <w:spacing w:before="60" w:after="60"/>
                    <w:rPr>
                      <w:sz w:val="18"/>
                    </w:rPr>
                  </w:pPr>
                  <w:r>
                    <w:rPr>
                      <w:sz w:val="18"/>
                    </w:rPr>
                    <w:t>2</w:t>
                  </w:r>
                  <w:r w:rsidR="00386A52">
                    <w:rPr>
                      <w:sz w:val="18"/>
                    </w:rPr>
                    <w:t>40</w:t>
                  </w:r>
                  <w:r>
                    <w:rPr>
                      <w:sz w:val="18"/>
                    </w:rPr>
                    <w:t xml:space="preserve"> Hours/3</w:t>
                  </w:r>
                  <w:r w:rsidR="00386A52">
                    <w:rPr>
                      <w:sz w:val="18"/>
                    </w:rPr>
                    <w:t>0</w:t>
                  </w:r>
                  <w:r>
                    <w:rPr>
                      <w:sz w:val="18"/>
                    </w:rPr>
                    <w:t xml:space="preserve"> Days</w:t>
                  </w:r>
                </w:p>
              </w:tc>
            </w:tr>
            <w:tr w:rsidR="009E767E" w:rsidTr="009E767E">
              <w:tc>
                <w:tcPr>
                  <w:tcW w:w="2962" w:type="dxa"/>
                </w:tcPr>
                <w:p w:rsidR="009E767E" w:rsidRDefault="00386A52" w:rsidP="00386A52">
                  <w:pPr>
                    <w:spacing w:before="60" w:after="60"/>
                    <w:rPr>
                      <w:sz w:val="18"/>
                    </w:rPr>
                  </w:pPr>
                  <w:r>
                    <w:rPr>
                      <w:sz w:val="18"/>
                    </w:rPr>
                    <w:t>24-34</w:t>
                  </w:r>
                  <w:r w:rsidR="009E767E">
                    <w:rPr>
                      <w:sz w:val="18"/>
                    </w:rPr>
                    <w:t xml:space="preserve"> Years</w:t>
                  </w:r>
                </w:p>
              </w:tc>
              <w:tc>
                <w:tcPr>
                  <w:tcW w:w="2962" w:type="dxa"/>
                </w:tcPr>
                <w:p w:rsidR="009E767E" w:rsidRDefault="00386A52" w:rsidP="001B4BFF">
                  <w:pPr>
                    <w:spacing w:before="60" w:after="60"/>
                    <w:rPr>
                      <w:sz w:val="18"/>
                    </w:rPr>
                  </w:pPr>
                  <w:r>
                    <w:rPr>
                      <w:sz w:val="18"/>
                    </w:rPr>
                    <w:t xml:space="preserve">10.77 </w:t>
                  </w:r>
                  <w:r w:rsidR="009E767E">
                    <w:rPr>
                      <w:sz w:val="18"/>
                    </w:rPr>
                    <w:t xml:space="preserve"> Hours</w:t>
                  </w:r>
                </w:p>
              </w:tc>
              <w:tc>
                <w:tcPr>
                  <w:tcW w:w="2962" w:type="dxa"/>
                </w:tcPr>
                <w:p w:rsidR="009E767E" w:rsidRDefault="00386A52" w:rsidP="00386A52">
                  <w:pPr>
                    <w:spacing w:before="60" w:after="60"/>
                    <w:rPr>
                      <w:sz w:val="18"/>
                    </w:rPr>
                  </w:pPr>
                  <w:r>
                    <w:rPr>
                      <w:sz w:val="18"/>
                    </w:rPr>
                    <w:t>28</w:t>
                  </w:r>
                  <w:r w:rsidR="009E767E">
                    <w:rPr>
                      <w:sz w:val="18"/>
                    </w:rPr>
                    <w:t xml:space="preserve">0 </w:t>
                  </w:r>
                  <w:r>
                    <w:rPr>
                      <w:sz w:val="18"/>
                    </w:rPr>
                    <w:t>H</w:t>
                  </w:r>
                  <w:r w:rsidR="009E767E">
                    <w:rPr>
                      <w:sz w:val="18"/>
                    </w:rPr>
                    <w:t>ours/</w:t>
                  </w:r>
                  <w:r>
                    <w:rPr>
                      <w:sz w:val="18"/>
                    </w:rPr>
                    <w:t>35</w:t>
                  </w:r>
                  <w:r w:rsidR="009E767E">
                    <w:rPr>
                      <w:sz w:val="18"/>
                    </w:rPr>
                    <w:t>Days</w:t>
                  </w:r>
                </w:p>
              </w:tc>
            </w:tr>
            <w:tr w:rsidR="00386A52" w:rsidTr="009E767E">
              <w:tc>
                <w:tcPr>
                  <w:tcW w:w="2962" w:type="dxa"/>
                </w:tcPr>
                <w:p w:rsidR="00386A52" w:rsidRDefault="00386A52" w:rsidP="00386A52">
                  <w:pPr>
                    <w:spacing w:before="60" w:after="60"/>
                    <w:rPr>
                      <w:sz w:val="18"/>
                    </w:rPr>
                  </w:pPr>
                  <w:r>
                    <w:rPr>
                      <w:sz w:val="18"/>
                    </w:rPr>
                    <w:t>35+ Years</w:t>
                  </w:r>
                </w:p>
              </w:tc>
              <w:tc>
                <w:tcPr>
                  <w:tcW w:w="2962" w:type="dxa"/>
                </w:tcPr>
                <w:p w:rsidR="00386A52" w:rsidRDefault="00386A52" w:rsidP="001B4BFF">
                  <w:pPr>
                    <w:spacing w:before="60" w:after="60"/>
                    <w:rPr>
                      <w:sz w:val="18"/>
                    </w:rPr>
                  </w:pPr>
                  <w:r>
                    <w:rPr>
                      <w:sz w:val="18"/>
                    </w:rPr>
                    <w:t>12.31 Hours</w:t>
                  </w:r>
                </w:p>
              </w:tc>
              <w:tc>
                <w:tcPr>
                  <w:tcW w:w="2962" w:type="dxa"/>
                </w:tcPr>
                <w:p w:rsidR="00386A52" w:rsidRDefault="00386A52" w:rsidP="00386A52">
                  <w:pPr>
                    <w:spacing w:before="60" w:after="60"/>
                    <w:rPr>
                      <w:sz w:val="18"/>
                    </w:rPr>
                  </w:pPr>
                  <w:r>
                    <w:rPr>
                      <w:sz w:val="18"/>
                    </w:rPr>
                    <w:t>320 Hours/ 40 Days</w:t>
                  </w:r>
                </w:p>
              </w:tc>
            </w:tr>
          </w:tbl>
          <w:p w:rsidR="009E767E" w:rsidRPr="001B4BFF" w:rsidRDefault="009E767E" w:rsidP="001B4BFF">
            <w:pPr>
              <w:spacing w:before="60" w:after="60"/>
              <w:rPr>
                <w:sz w:val="18"/>
              </w:rPr>
            </w:pPr>
          </w:p>
        </w:tc>
      </w:tr>
      <w:tr w:rsidR="009E767E" w:rsidRPr="00101976" w:rsidTr="009E767E">
        <w:tc>
          <w:tcPr>
            <w:tcW w:w="1764" w:type="dxa"/>
            <w:shd w:val="clear" w:color="auto" w:fill="F2F2F2" w:themeFill="background1" w:themeFillShade="F2"/>
          </w:tcPr>
          <w:p w:rsidR="009E767E" w:rsidRDefault="009E767E" w:rsidP="001B4BFF">
            <w:pPr>
              <w:spacing w:before="60" w:after="60"/>
              <w:rPr>
                <w:b/>
                <w:color w:val="003366"/>
                <w:sz w:val="18"/>
              </w:rPr>
            </w:pPr>
          </w:p>
        </w:tc>
        <w:tc>
          <w:tcPr>
            <w:tcW w:w="9240" w:type="dxa"/>
            <w:shd w:val="clear" w:color="auto" w:fill="F2F2F2" w:themeFill="background1" w:themeFillShade="F2"/>
          </w:tcPr>
          <w:p w:rsidR="009E767E" w:rsidRDefault="009E767E" w:rsidP="001B4BFF">
            <w:pPr>
              <w:spacing w:before="60" w:after="60"/>
              <w:rPr>
                <w:sz w:val="18"/>
              </w:rPr>
            </w:pPr>
          </w:p>
        </w:tc>
      </w:tr>
      <w:tr w:rsidR="009E767E" w:rsidRPr="00101976" w:rsidTr="00791F62">
        <w:tc>
          <w:tcPr>
            <w:tcW w:w="1764" w:type="dxa"/>
          </w:tcPr>
          <w:p w:rsidR="009E767E" w:rsidRDefault="009E767E" w:rsidP="001B4BFF">
            <w:pPr>
              <w:spacing w:before="60" w:after="60"/>
              <w:rPr>
                <w:b/>
                <w:color w:val="003366"/>
                <w:sz w:val="18"/>
              </w:rPr>
            </w:pPr>
            <w:r>
              <w:rPr>
                <w:b/>
                <w:color w:val="003366"/>
                <w:sz w:val="18"/>
              </w:rPr>
              <w:t>Holidays</w:t>
            </w:r>
          </w:p>
        </w:tc>
        <w:tc>
          <w:tcPr>
            <w:tcW w:w="9240" w:type="dxa"/>
          </w:tcPr>
          <w:p w:rsidR="009E767E" w:rsidRDefault="009E767E" w:rsidP="003E19B0">
            <w:pPr>
              <w:spacing w:before="60" w:after="60"/>
              <w:rPr>
                <w:sz w:val="18"/>
              </w:rPr>
            </w:pPr>
            <w:r>
              <w:rPr>
                <w:sz w:val="18"/>
              </w:rPr>
              <w:t>CSB o</w:t>
            </w:r>
            <w:r w:rsidR="003E19B0">
              <w:rPr>
                <w:sz w:val="18"/>
              </w:rPr>
              <w:t xml:space="preserve">bserves approximately ten paid </w:t>
            </w:r>
            <w:r>
              <w:rPr>
                <w:sz w:val="18"/>
              </w:rPr>
              <w:t>holidays per year.</w:t>
            </w:r>
            <w:r w:rsidR="003E19B0">
              <w:rPr>
                <w:sz w:val="18"/>
              </w:rPr>
              <w:t xml:space="preserve">  The observed holidays in 2010 are: New Year’s Day, Martin Luther King Day, President’s Day, Memorial Day, Independence Day (July 5</w:t>
            </w:r>
            <w:r w:rsidR="003E19B0" w:rsidRPr="003E19B0">
              <w:rPr>
                <w:sz w:val="18"/>
                <w:vertAlign w:val="superscript"/>
              </w:rPr>
              <w:t>th</w:t>
            </w:r>
            <w:r w:rsidR="003E19B0">
              <w:rPr>
                <w:sz w:val="18"/>
              </w:rPr>
              <w:t>), Labor Day, Columbus Day, Veteran’s Day, Thanksgiving Day, Christmas Day (floating).</w:t>
            </w:r>
          </w:p>
        </w:tc>
      </w:tr>
      <w:tr w:rsidR="009E767E" w:rsidRPr="00101976" w:rsidTr="00997D95">
        <w:tc>
          <w:tcPr>
            <w:tcW w:w="1764" w:type="dxa"/>
            <w:shd w:val="clear" w:color="auto" w:fill="F2F2F2" w:themeFill="background1" w:themeFillShade="F2"/>
          </w:tcPr>
          <w:p w:rsidR="009E767E" w:rsidRDefault="009E767E" w:rsidP="001B4BFF">
            <w:pPr>
              <w:spacing w:before="60" w:after="60"/>
              <w:rPr>
                <w:b/>
                <w:color w:val="003366"/>
                <w:sz w:val="18"/>
              </w:rPr>
            </w:pPr>
          </w:p>
        </w:tc>
        <w:tc>
          <w:tcPr>
            <w:tcW w:w="9240" w:type="dxa"/>
            <w:shd w:val="clear" w:color="auto" w:fill="F2F2F2" w:themeFill="background1" w:themeFillShade="F2"/>
          </w:tcPr>
          <w:p w:rsidR="009E767E" w:rsidRDefault="009E767E" w:rsidP="009E767E">
            <w:pPr>
              <w:spacing w:before="60" w:after="60"/>
              <w:rPr>
                <w:sz w:val="18"/>
              </w:rPr>
            </w:pPr>
          </w:p>
        </w:tc>
      </w:tr>
      <w:tr w:rsidR="00997D95" w:rsidRPr="00101976" w:rsidTr="00791F62">
        <w:tc>
          <w:tcPr>
            <w:tcW w:w="1764" w:type="dxa"/>
          </w:tcPr>
          <w:p w:rsidR="00997D95" w:rsidRDefault="00997D95" w:rsidP="001B4BFF">
            <w:pPr>
              <w:spacing w:before="60" w:after="60"/>
              <w:rPr>
                <w:b/>
                <w:color w:val="003366"/>
                <w:sz w:val="18"/>
              </w:rPr>
            </w:pPr>
            <w:r>
              <w:rPr>
                <w:b/>
                <w:color w:val="003366"/>
                <w:sz w:val="18"/>
              </w:rPr>
              <w:t>Employee Assistance Plan</w:t>
            </w:r>
          </w:p>
        </w:tc>
        <w:tc>
          <w:tcPr>
            <w:tcW w:w="9240" w:type="dxa"/>
          </w:tcPr>
          <w:p w:rsidR="00997D95" w:rsidRDefault="00997D95" w:rsidP="00997D95">
            <w:pPr>
              <w:spacing w:before="60" w:after="60"/>
              <w:rPr>
                <w:sz w:val="18"/>
              </w:rPr>
            </w:pPr>
            <w:r>
              <w:rPr>
                <w:sz w:val="18"/>
              </w:rPr>
              <w:t>CSB provides, at no cost to the employee, an Employee Assistance Plan (EAP).  The EAP is designed to provide extra help in personal matters for the employee and his/her family members.</w:t>
            </w:r>
          </w:p>
        </w:tc>
      </w:tr>
      <w:tr w:rsidR="00997D95" w:rsidRPr="00101976" w:rsidTr="00997D95">
        <w:tc>
          <w:tcPr>
            <w:tcW w:w="1764" w:type="dxa"/>
            <w:shd w:val="clear" w:color="auto" w:fill="F2F2F2" w:themeFill="background1" w:themeFillShade="F2"/>
          </w:tcPr>
          <w:p w:rsidR="00997D95" w:rsidRDefault="00997D95" w:rsidP="001B4BFF">
            <w:pPr>
              <w:spacing w:before="60" w:after="60"/>
              <w:rPr>
                <w:b/>
                <w:color w:val="003366"/>
                <w:sz w:val="18"/>
              </w:rPr>
            </w:pPr>
          </w:p>
        </w:tc>
        <w:tc>
          <w:tcPr>
            <w:tcW w:w="9240" w:type="dxa"/>
            <w:shd w:val="clear" w:color="auto" w:fill="F2F2F2" w:themeFill="background1" w:themeFillShade="F2"/>
          </w:tcPr>
          <w:p w:rsidR="00997D95" w:rsidRDefault="00997D95" w:rsidP="00997D95">
            <w:pPr>
              <w:spacing w:before="60" w:after="60"/>
              <w:rPr>
                <w:sz w:val="18"/>
              </w:rPr>
            </w:pPr>
          </w:p>
        </w:tc>
      </w:tr>
      <w:tr w:rsidR="00997D95" w:rsidRPr="00101976" w:rsidTr="00791F62">
        <w:tc>
          <w:tcPr>
            <w:tcW w:w="1764" w:type="dxa"/>
          </w:tcPr>
          <w:p w:rsidR="00997D95" w:rsidRDefault="000C0DE5" w:rsidP="001B4BFF">
            <w:pPr>
              <w:spacing w:before="60" w:after="60"/>
              <w:rPr>
                <w:b/>
                <w:color w:val="003366"/>
                <w:sz w:val="18"/>
              </w:rPr>
            </w:pPr>
            <w:r>
              <w:rPr>
                <w:b/>
                <w:color w:val="003366"/>
                <w:sz w:val="18"/>
              </w:rPr>
              <w:t>Continuing Education</w:t>
            </w:r>
          </w:p>
        </w:tc>
        <w:tc>
          <w:tcPr>
            <w:tcW w:w="9240" w:type="dxa"/>
          </w:tcPr>
          <w:p w:rsidR="00997D95" w:rsidRDefault="000C0DE5" w:rsidP="00997D95">
            <w:pPr>
              <w:spacing w:before="60" w:after="60"/>
              <w:rPr>
                <w:sz w:val="18"/>
              </w:rPr>
            </w:pPr>
            <w:r>
              <w:rPr>
                <w:sz w:val="18"/>
              </w:rPr>
              <w:t>CSB encourages its employees’ growth and development by providing time off and payment for workshops, seminar and courses that are job related.  We also have a tuition reimbursement policy.</w:t>
            </w:r>
          </w:p>
        </w:tc>
      </w:tr>
      <w:tr w:rsidR="000C0DE5" w:rsidRPr="00101976" w:rsidTr="000C0DE5">
        <w:tc>
          <w:tcPr>
            <w:tcW w:w="1764" w:type="dxa"/>
            <w:shd w:val="clear" w:color="auto" w:fill="F2F2F2" w:themeFill="background1" w:themeFillShade="F2"/>
          </w:tcPr>
          <w:p w:rsidR="000C0DE5" w:rsidRDefault="000C0DE5" w:rsidP="001B4BFF">
            <w:pPr>
              <w:spacing w:before="60" w:after="60"/>
              <w:rPr>
                <w:b/>
                <w:color w:val="003366"/>
                <w:sz w:val="18"/>
              </w:rPr>
            </w:pPr>
          </w:p>
        </w:tc>
        <w:tc>
          <w:tcPr>
            <w:tcW w:w="9240" w:type="dxa"/>
            <w:shd w:val="clear" w:color="auto" w:fill="F2F2F2" w:themeFill="background1" w:themeFillShade="F2"/>
          </w:tcPr>
          <w:p w:rsidR="000C0DE5" w:rsidRDefault="000C0DE5" w:rsidP="00997D95">
            <w:pPr>
              <w:spacing w:before="60" w:after="60"/>
              <w:rPr>
                <w:sz w:val="18"/>
              </w:rPr>
            </w:pPr>
          </w:p>
        </w:tc>
      </w:tr>
      <w:tr w:rsidR="000C0DE5" w:rsidRPr="00101976" w:rsidTr="00791F62">
        <w:tc>
          <w:tcPr>
            <w:tcW w:w="1764" w:type="dxa"/>
          </w:tcPr>
          <w:p w:rsidR="000C0DE5" w:rsidRDefault="000C0DE5" w:rsidP="001B4BFF">
            <w:pPr>
              <w:spacing w:before="60" w:after="60"/>
              <w:rPr>
                <w:b/>
                <w:color w:val="003366"/>
                <w:sz w:val="18"/>
              </w:rPr>
            </w:pPr>
            <w:r>
              <w:rPr>
                <w:b/>
                <w:color w:val="003366"/>
                <w:sz w:val="18"/>
              </w:rPr>
              <w:t>Employee Discounts</w:t>
            </w:r>
          </w:p>
        </w:tc>
        <w:tc>
          <w:tcPr>
            <w:tcW w:w="9240" w:type="dxa"/>
          </w:tcPr>
          <w:p w:rsidR="000C0DE5" w:rsidRDefault="000C0DE5" w:rsidP="003464F6">
            <w:pPr>
              <w:spacing w:before="60" w:after="60"/>
              <w:rPr>
                <w:sz w:val="18"/>
              </w:rPr>
            </w:pPr>
            <w:r>
              <w:rPr>
                <w:sz w:val="18"/>
              </w:rPr>
              <w:t xml:space="preserve">CSB </w:t>
            </w:r>
            <w:r w:rsidR="003464F6">
              <w:rPr>
                <w:sz w:val="18"/>
              </w:rPr>
              <w:t>provides a free checking account and $25 towards a safety deposit box rental.  We have also offered discounts to amusement parks, wholesale clubs and heating oil rates.</w:t>
            </w:r>
          </w:p>
        </w:tc>
      </w:tr>
      <w:tr w:rsidR="003464F6" w:rsidRPr="00101976" w:rsidTr="003464F6">
        <w:tc>
          <w:tcPr>
            <w:tcW w:w="1764" w:type="dxa"/>
            <w:shd w:val="clear" w:color="auto" w:fill="F2F2F2" w:themeFill="background1" w:themeFillShade="F2"/>
          </w:tcPr>
          <w:p w:rsidR="003464F6" w:rsidRDefault="003464F6" w:rsidP="001B4BFF">
            <w:pPr>
              <w:spacing w:before="60" w:after="60"/>
              <w:rPr>
                <w:b/>
                <w:color w:val="003366"/>
                <w:sz w:val="18"/>
              </w:rPr>
            </w:pPr>
          </w:p>
        </w:tc>
        <w:tc>
          <w:tcPr>
            <w:tcW w:w="9240" w:type="dxa"/>
            <w:shd w:val="clear" w:color="auto" w:fill="F2F2F2" w:themeFill="background1" w:themeFillShade="F2"/>
          </w:tcPr>
          <w:p w:rsidR="003464F6" w:rsidRDefault="003464F6" w:rsidP="003464F6">
            <w:pPr>
              <w:spacing w:before="60" w:after="60"/>
              <w:rPr>
                <w:sz w:val="18"/>
              </w:rPr>
            </w:pPr>
          </w:p>
        </w:tc>
      </w:tr>
      <w:tr w:rsidR="003464F6" w:rsidRPr="00101976" w:rsidTr="00791F62">
        <w:tc>
          <w:tcPr>
            <w:tcW w:w="1764" w:type="dxa"/>
          </w:tcPr>
          <w:p w:rsidR="003464F6" w:rsidRDefault="003464F6" w:rsidP="001B4BFF">
            <w:pPr>
              <w:spacing w:before="60" w:after="60"/>
              <w:rPr>
                <w:b/>
                <w:color w:val="003366"/>
                <w:sz w:val="18"/>
              </w:rPr>
            </w:pPr>
            <w:r>
              <w:rPr>
                <w:b/>
                <w:color w:val="003366"/>
                <w:sz w:val="18"/>
              </w:rPr>
              <w:t>Wellness Program</w:t>
            </w:r>
          </w:p>
        </w:tc>
        <w:tc>
          <w:tcPr>
            <w:tcW w:w="9240" w:type="dxa"/>
          </w:tcPr>
          <w:p w:rsidR="003464F6" w:rsidRDefault="003464F6" w:rsidP="005840B0">
            <w:pPr>
              <w:spacing w:before="60" w:after="60"/>
              <w:rPr>
                <w:sz w:val="18"/>
              </w:rPr>
            </w:pPr>
            <w:r>
              <w:rPr>
                <w:sz w:val="18"/>
              </w:rPr>
              <w:t>CSB is committed to supporting health and wellness.  We sponsor a program that encourages employees to have th</w:t>
            </w:r>
            <w:r w:rsidR="005840B0">
              <w:rPr>
                <w:sz w:val="18"/>
              </w:rPr>
              <w:t xml:space="preserve">eir annual health screenings, </w:t>
            </w:r>
            <w:r>
              <w:rPr>
                <w:sz w:val="18"/>
              </w:rPr>
              <w:t>attend wellness events, fitness classes, weight loss meetings, etc. Up to one additional day off with pay is earned by participation in the program. In addition, CSB sponsors many events and classes throughout the year designed to work on whole body wellness.</w:t>
            </w:r>
          </w:p>
        </w:tc>
      </w:tr>
    </w:tbl>
    <w:p w:rsidR="001F0083" w:rsidRPr="00101976" w:rsidRDefault="001F0083" w:rsidP="00101976">
      <w:r w:rsidRPr="00101976">
        <w:tab/>
      </w:r>
    </w:p>
    <w:sectPr w:rsidR="001F0083" w:rsidRPr="00101976" w:rsidSect="004F7C73">
      <w:footerReference w:type="default" r:id="rId7"/>
      <w:endnotePr>
        <w:numFmt w:val="decimal"/>
      </w:endnotePr>
      <w:pgSz w:w="12240" w:h="15840" w:code="1"/>
      <w:pgMar w:top="720" w:right="720" w:bottom="720" w:left="720" w:header="576" w:footer="576"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A52" w:rsidRDefault="00386A52">
      <w:pPr>
        <w:spacing w:line="20" w:lineRule="exact"/>
      </w:pPr>
    </w:p>
  </w:endnote>
  <w:endnote w:type="continuationSeparator" w:id="0">
    <w:p w:rsidR="00386A52" w:rsidRDefault="00386A52">
      <w:r>
        <w:t xml:space="preserve"> </w:t>
      </w:r>
    </w:p>
  </w:endnote>
  <w:endnote w:type="continuationNotice" w:id="1">
    <w:p w:rsidR="00386A52" w:rsidRDefault="00386A52">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A52" w:rsidRPr="00233773" w:rsidRDefault="00386A52" w:rsidP="00D17B1B">
    <w:pPr>
      <w:pStyle w:val="Footer"/>
      <w:tabs>
        <w:tab w:val="clear" w:pos="4320"/>
        <w:tab w:val="clear" w:pos="8640"/>
        <w:tab w:val="center" w:pos="5400"/>
        <w:tab w:val="right" w:pos="10800"/>
      </w:tabs>
    </w:pPr>
    <w:r>
      <w:rPr>
        <w:rFonts w:cs="Arial"/>
        <w:b/>
        <w:bCs/>
        <w:sz w:val="16"/>
        <w:szCs w:val="2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A52" w:rsidRDefault="00386A52">
      <w:r>
        <w:separator/>
      </w:r>
    </w:p>
  </w:footnote>
  <w:footnote w:type="continuationSeparator" w:id="0">
    <w:p w:rsidR="00386A52" w:rsidRDefault="00386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00F5"/>
    <w:multiLevelType w:val="hybridMultilevel"/>
    <w:tmpl w:val="6E005FD2"/>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C0665"/>
    <w:multiLevelType w:val="hybridMultilevel"/>
    <w:tmpl w:val="E606E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296339"/>
    <w:multiLevelType w:val="hybridMultilevel"/>
    <w:tmpl w:val="8BB07BE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216421E2"/>
    <w:multiLevelType w:val="hybridMultilevel"/>
    <w:tmpl w:val="03483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7EC43F5"/>
    <w:multiLevelType w:val="hybridMultilevel"/>
    <w:tmpl w:val="94223EF6"/>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B60BAD"/>
    <w:multiLevelType w:val="hybridMultilevel"/>
    <w:tmpl w:val="2180B844"/>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5F2DCE"/>
    <w:multiLevelType w:val="multilevel"/>
    <w:tmpl w:val="C64CC8FE"/>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FC3084C"/>
    <w:multiLevelType w:val="hybridMultilevel"/>
    <w:tmpl w:val="D7068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1E0917"/>
    <w:multiLevelType w:val="hybridMultilevel"/>
    <w:tmpl w:val="C64CC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4"/>
  </w:num>
  <w:num w:numId="6">
    <w:abstractNumId w:val="5"/>
  </w:num>
  <w:num w:numId="7">
    <w:abstractNumId w:val="8"/>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FormatFilter w:val="3001"/>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791F62"/>
    <w:rsid w:val="00006252"/>
    <w:rsid w:val="00030C07"/>
    <w:rsid w:val="000348B5"/>
    <w:rsid w:val="00050936"/>
    <w:rsid w:val="00066A49"/>
    <w:rsid w:val="00086699"/>
    <w:rsid w:val="00087EF0"/>
    <w:rsid w:val="000C0DE5"/>
    <w:rsid w:val="000C7B8D"/>
    <w:rsid w:val="000C7CE4"/>
    <w:rsid w:val="000E2BDD"/>
    <w:rsid w:val="000F01DA"/>
    <w:rsid w:val="00101976"/>
    <w:rsid w:val="001532D6"/>
    <w:rsid w:val="00170982"/>
    <w:rsid w:val="00171494"/>
    <w:rsid w:val="00177B06"/>
    <w:rsid w:val="001B4BFF"/>
    <w:rsid w:val="001F0083"/>
    <w:rsid w:val="002001D7"/>
    <w:rsid w:val="00214811"/>
    <w:rsid w:val="0021500A"/>
    <w:rsid w:val="0022124F"/>
    <w:rsid w:val="00231183"/>
    <w:rsid w:val="00231CC1"/>
    <w:rsid w:val="00233773"/>
    <w:rsid w:val="002420C0"/>
    <w:rsid w:val="00242B4D"/>
    <w:rsid w:val="0025561E"/>
    <w:rsid w:val="00261371"/>
    <w:rsid w:val="0027228C"/>
    <w:rsid w:val="002801DB"/>
    <w:rsid w:val="00284167"/>
    <w:rsid w:val="002A7D7F"/>
    <w:rsid w:val="002D3E60"/>
    <w:rsid w:val="002F1645"/>
    <w:rsid w:val="0032411C"/>
    <w:rsid w:val="003464F6"/>
    <w:rsid w:val="0037031E"/>
    <w:rsid w:val="003855CF"/>
    <w:rsid w:val="00386A52"/>
    <w:rsid w:val="003B0B15"/>
    <w:rsid w:val="003B3A75"/>
    <w:rsid w:val="003C5795"/>
    <w:rsid w:val="003D7BE3"/>
    <w:rsid w:val="003E19B0"/>
    <w:rsid w:val="003F2F29"/>
    <w:rsid w:val="00401E94"/>
    <w:rsid w:val="00405287"/>
    <w:rsid w:val="00425E65"/>
    <w:rsid w:val="004446E1"/>
    <w:rsid w:val="004B05CD"/>
    <w:rsid w:val="004E14F3"/>
    <w:rsid w:val="004F04DC"/>
    <w:rsid w:val="004F7C73"/>
    <w:rsid w:val="00507F59"/>
    <w:rsid w:val="0053784F"/>
    <w:rsid w:val="00552199"/>
    <w:rsid w:val="00562861"/>
    <w:rsid w:val="00566D24"/>
    <w:rsid w:val="00571E71"/>
    <w:rsid w:val="00572C38"/>
    <w:rsid w:val="005751FE"/>
    <w:rsid w:val="00575DB7"/>
    <w:rsid w:val="005840B0"/>
    <w:rsid w:val="005A2106"/>
    <w:rsid w:val="005A2DC8"/>
    <w:rsid w:val="005A5AC4"/>
    <w:rsid w:val="005A6D9A"/>
    <w:rsid w:val="005E38EA"/>
    <w:rsid w:val="005E57D2"/>
    <w:rsid w:val="005E7C6C"/>
    <w:rsid w:val="00605726"/>
    <w:rsid w:val="00631E44"/>
    <w:rsid w:val="0066237E"/>
    <w:rsid w:val="0067005F"/>
    <w:rsid w:val="00673BE2"/>
    <w:rsid w:val="006829BD"/>
    <w:rsid w:val="00695B71"/>
    <w:rsid w:val="006C11FD"/>
    <w:rsid w:val="006C2B44"/>
    <w:rsid w:val="006C46EA"/>
    <w:rsid w:val="006C5D02"/>
    <w:rsid w:val="006C7E48"/>
    <w:rsid w:val="006D1976"/>
    <w:rsid w:val="006E28D5"/>
    <w:rsid w:val="00704098"/>
    <w:rsid w:val="007109D5"/>
    <w:rsid w:val="00711DDF"/>
    <w:rsid w:val="0073127A"/>
    <w:rsid w:val="00737E0F"/>
    <w:rsid w:val="00752362"/>
    <w:rsid w:val="007528D8"/>
    <w:rsid w:val="007577FD"/>
    <w:rsid w:val="00760830"/>
    <w:rsid w:val="00764501"/>
    <w:rsid w:val="00764D0F"/>
    <w:rsid w:val="00766806"/>
    <w:rsid w:val="00766A7F"/>
    <w:rsid w:val="007746FC"/>
    <w:rsid w:val="00790EC5"/>
    <w:rsid w:val="00791F62"/>
    <w:rsid w:val="007B6342"/>
    <w:rsid w:val="007C1713"/>
    <w:rsid w:val="007C7DEB"/>
    <w:rsid w:val="007D3CA0"/>
    <w:rsid w:val="007F5C7E"/>
    <w:rsid w:val="008003FC"/>
    <w:rsid w:val="008055A3"/>
    <w:rsid w:val="00816C43"/>
    <w:rsid w:val="00821EE8"/>
    <w:rsid w:val="008227AF"/>
    <w:rsid w:val="00845392"/>
    <w:rsid w:val="008621AC"/>
    <w:rsid w:val="00870655"/>
    <w:rsid w:val="00880194"/>
    <w:rsid w:val="008B197D"/>
    <w:rsid w:val="008B4AEE"/>
    <w:rsid w:val="008C2A67"/>
    <w:rsid w:val="008E04B7"/>
    <w:rsid w:val="008F33F0"/>
    <w:rsid w:val="00900FE6"/>
    <w:rsid w:val="0090251E"/>
    <w:rsid w:val="00926506"/>
    <w:rsid w:val="00931509"/>
    <w:rsid w:val="00954B43"/>
    <w:rsid w:val="00961F99"/>
    <w:rsid w:val="009725E2"/>
    <w:rsid w:val="00997D95"/>
    <w:rsid w:val="009B71C9"/>
    <w:rsid w:val="009D294F"/>
    <w:rsid w:val="009D7532"/>
    <w:rsid w:val="009E767E"/>
    <w:rsid w:val="009F6677"/>
    <w:rsid w:val="00A311B5"/>
    <w:rsid w:val="00A350C1"/>
    <w:rsid w:val="00A45214"/>
    <w:rsid w:val="00A73F2F"/>
    <w:rsid w:val="00A8266C"/>
    <w:rsid w:val="00AE0581"/>
    <w:rsid w:val="00AE2AEF"/>
    <w:rsid w:val="00AE5F77"/>
    <w:rsid w:val="00AF5E32"/>
    <w:rsid w:val="00B25B9A"/>
    <w:rsid w:val="00B26E15"/>
    <w:rsid w:val="00B40471"/>
    <w:rsid w:val="00B41C89"/>
    <w:rsid w:val="00B42BFB"/>
    <w:rsid w:val="00B4464E"/>
    <w:rsid w:val="00B47A5A"/>
    <w:rsid w:val="00B75D85"/>
    <w:rsid w:val="00B8575F"/>
    <w:rsid w:val="00BC016E"/>
    <w:rsid w:val="00C064A9"/>
    <w:rsid w:val="00C11A7D"/>
    <w:rsid w:val="00C24827"/>
    <w:rsid w:val="00C47C4B"/>
    <w:rsid w:val="00CB2D24"/>
    <w:rsid w:val="00CD59A2"/>
    <w:rsid w:val="00CD6139"/>
    <w:rsid w:val="00CE1F33"/>
    <w:rsid w:val="00D10D5C"/>
    <w:rsid w:val="00D11668"/>
    <w:rsid w:val="00D1326B"/>
    <w:rsid w:val="00D17B1B"/>
    <w:rsid w:val="00D274C5"/>
    <w:rsid w:val="00D47D02"/>
    <w:rsid w:val="00D52FBD"/>
    <w:rsid w:val="00D738E1"/>
    <w:rsid w:val="00DF049A"/>
    <w:rsid w:val="00E007DF"/>
    <w:rsid w:val="00E216D9"/>
    <w:rsid w:val="00E26413"/>
    <w:rsid w:val="00E3389F"/>
    <w:rsid w:val="00E37F27"/>
    <w:rsid w:val="00E44B9E"/>
    <w:rsid w:val="00E55A2C"/>
    <w:rsid w:val="00E61914"/>
    <w:rsid w:val="00EA0BC3"/>
    <w:rsid w:val="00EC59C8"/>
    <w:rsid w:val="00EC6DB2"/>
    <w:rsid w:val="00EE1A4B"/>
    <w:rsid w:val="00EF0F2A"/>
    <w:rsid w:val="00EF54BA"/>
    <w:rsid w:val="00F218E7"/>
    <w:rsid w:val="00F33B56"/>
    <w:rsid w:val="00F47042"/>
    <w:rsid w:val="00F50D30"/>
    <w:rsid w:val="00F66E9C"/>
    <w:rsid w:val="00FA6958"/>
    <w:rsid w:val="00FE1CBD"/>
    <w:rsid w:val="00FE50DD"/>
    <w:rsid w:val="00FF0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64E"/>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B4464E"/>
    <w:pPr>
      <w:keepNext/>
      <w:spacing w:before="240" w:after="240"/>
      <w:jc w:val="center"/>
      <w:outlineLvl w:val="0"/>
    </w:pPr>
    <w:rPr>
      <w:b/>
      <w:color w:val="003366"/>
      <w:kern w:val="28"/>
      <w:sz w:val="32"/>
    </w:rPr>
  </w:style>
  <w:style w:type="character" w:default="1" w:styleId="DefaultParagraphFont">
    <w:name w:val="Default Paragraph Font"/>
    <w:uiPriority w:val="1"/>
    <w:semiHidden/>
    <w:unhideWhenUsed/>
    <w:rsid w:val="00B4464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4464E"/>
  </w:style>
  <w:style w:type="paragraph" w:customStyle="1" w:styleId="Bulleteditem">
    <w:name w:val="Bulleted item"/>
    <w:basedOn w:val="Normal"/>
    <w:rsid w:val="00B4464E"/>
    <w:pPr>
      <w:suppressAutoHyphens/>
      <w:ind w:left="2880" w:hanging="720"/>
    </w:pPr>
  </w:style>
  <w:style w:type="table" w:styleId="TableGrid">
    <w:name w:val="Table Grid"/>
    <w:basedOn w:val="TableNormal"/>
    <w:rsid w:val="00B4464E"/>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4464E"/>
    <w:pPr>
      <w:tabs>
        <w:tab w:val="center" w:pos="4320"/>
        <w:tab w:val="right" w:pos="8640"/>
      </w:tabs>
    </w:pPr>
  </w:style>
  <w:style w:type="paragraph" w:styleId="Footer">
    <w:name w:val="footer"/>
    <w:basedOn w:val="Normal"/>
    <w:rsid w:val="00B4464E"/>
    <w:pPr>
      <w:tabs>
        <w:tab w:val="center" w:pos="4320"/>
        <w:tab w:val="right" w:pos="8640"/>
      </w:tabs>
    </w:pPr>
  </w:style>
  <w:style w:type="paragraph" w:styleId="FootnoteText">
    <w:name w:val="footnote text"/>
    <w:basedOn w:val="Normal"/>
    <w:semiHidden/>
    <w:rsid w:val="00B4464E"/>
    <w:rPr>
      <w:rFonts w:ascii="Times Roman" w:hAnsi="Times Roman"/>
    </w:rPr>
  </w:style>
  <w:style w:type="paragraph" w:customStyle="1" w:styleId="TemplateBody">
    <w:name w:val="Template Body"/>
    <w:basedOn w:val="Normal"/>
    <w:rsid w:val="00B4464E"/>
    <w:pPr>
      <w:widowControl/>
      <w:tabs>
        <w:tab w:val="left" w:pos="-720"/>
      </w:tabs>
      <w:spacing w:before="100" w:after="60"/>
    </w:pPr>
    <w:rPr>
      <w:lang w:val="en-GB"/>
    </w:rPr>
  </w:style>
  <w:style w:type="paragraph" w:customStyle="1" w:styleId="TemplateHeading">
    <w:name w:val="Template Heading"/>
    <w:basedOn w:val="Heading1"/>
    <w:rsid w:val="00B4464E"/>
    <w:pPr>
      <w:keepNext w:val="0"/>
      <w:widowControl/>
      <w:outlineLvl w:val="9"/>
    </w:pPr>
    <w:rPr>
      <w:kern w:val="0"/>
      <w:position w:val="-6"/>
      <w:sz w:val="24"/>
      <w:lang w:val="en-GB"/>
    </w:rPr>
  </w:style>
  <w:style w:type="paragraph" w:customStyle="1" w:styleId="TemplateSubHeading">
    <w:name w:val="Template Sub Heading"/>
    <w:basedOn w:val="Normal"/>
    <w:rsid w:val="00B4464E"/>
    <w:pPr>
      <w:widowControl/>
      <w:spacing w:before="100" w:after="60"/>
    </w:pPr>
    <w:rPr>
      <w:b/>
    </w:rPr>
  </w:style>
  <w:style w:type="table" w:customStyle="1" w:styleId="ASGTable">
    <w:name w:val="ASGTable"/>
    <w:basedOn w:val="TableNormal"/>
    <w:rsid w:val="00B4464E"/>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B4464E"/>
    <w:pPr>
      <w:spacing w:before="120" w:after="120"/>
      <w:jc w:val="center"/>
    </w:pPr>
    <w:rPr>
      <w:sz w:val="18"/>
    </w:rPr>
  </w:style>
  <w:style w:type="paragraph" w:customStyle="1" w:styleId="ASGTableSubHead">
    <w:name w:val="ASGTableSubHead"/>
    <w:rsid w:val="00B4464E"/>
    <w:pPr>
      <w:spacing w:before="240" w:after="240"/>
    </w:pPr>
    <w:rPr>
      <w:rFonts w:ascii="Helvetica" w:hAnsi="Helvetica"/>
      <w:b/>
      <w:caps/>
      <w:color w:val="003366"/>
      <w:sz w:val="18"/>
      <w:szCs w:val="18"/>
    </w:rPr>
  </w:style>
</w:styles>
</file>

<file path=word/webSettings.xml><?xml version="1.0" encoding="utf-8"?>
<w:webSettings xmlns:r="http://schemas.openxmlformats.org/officeDocument/2006/relationships" xmlns:w="http://schemas.openxmlformats.org/wordprocessingml/2006/main">
  <w:divs>
    <w:div w:id="83653565">
      <w:bodyDiv w:val="1"/>
      <w:marLeft w:val="0"/>
      <w:marRight w:val="0"/>
      <w:marTop w:val="0"/>
      <w:marBottom w:val="0"/>
      <w:divBdr>
        <w:top w:val="none" w:sz="0" w:space="0" w:color="auto"/>
        <w:left w:val="none" w:sz="0" w:space="0" w:color="auto"/>
        <w:bottom w:val="none" w:sz="0" w:space="0" w:color="auto"/>
        <w:right w:val="none" w:sz="0" w:space="0" w:color="auto"/>
      </w:divBdr>
    </w:div>
    <w:div w:id="783118232">
      <w:bodyDiv w:val="1"/>
      <w:marLeft w:val="0"/>
      <w:marRight w:val="0"/>
      <w:marTop w:val="0"/>
      <w:marBottom w:val="0"/>
      <w:divBdr>
        <w:top w:val="none" w:sz="0" w:space="0" w:color="auto"/>
        <w:left w:val="none" w:sz="0" w:space="0" w:color="auto"/>
        <w:bottom w:val="none" w:sz="0" w:space="0" w:color="auto"/>
        <w:right w:val="none" w:sz="0" w:space="0" w:color="auto"/>
      </w:divBdr>
    </w:div>
    <w:div w:id="1072577719">
      <w:bodyDiv w:val="1"/>
      <w:marLeft w:val="0"/>
      <w:marRight w:val="0"/>
      <w:marTop w:val="0"/>
      <w:marBottom w:val="0"/>
      <w:divBdr>
        <w:top w:val="none" w:sz="0" w:space="0" w:color="auto"/>
        <w:left w:val="none" w:sz="0" w:space="0" w:color="auto"/>
        <w:bottom w:val="none" w:sz="0" w:space="0" w:color="auto"/>
        <w:right w:val="none" w:sz="0" w:space="0" w:color="auto"/>
      </w:divBdr>
    </w:div>
    <w:div w:id="121630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fratzel\Application%20Data\Microsoft\Templates\Microsoft%20Project%20Checklist%20-%20'Global%20Settings';%20preparing%20the%20Project%20Model;%20Updating%20and%20Track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Microsoft Project Checklist - 'Global Settings'; preparing the Project Model; Updating and Tracking.dotx</Template>
  <TotalTime>43</TotalTime>
  <Pages>2</Pages>
  <Words>946</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Project Basics Workshop - Instructor's Notes</vt:lpstr>
    </vt:vector>
  </TitlesOfParts>
  <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Project Basics Workshop - Instructor's Notes</dc:title>
  <dc:creator>cfratzel</dc:creator>
  <cp:lastModifiedBy>cfratzel</cp:lastModifiedBy>
  <cp:revision>6</cp:revision>
  <cp:lastPrinted>2005-11-01T00:28:00Z</cp:lastPrinted>
  <dcterms:created xsi:type="dcterms:W3CDTF">2010-02-02T20:17:00Z</dcterms:created>
  <dcterms:modified xsi:type="dcterms:W3CDTF">2010-02-05T21:09:00Z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TC300005101033</vt:lpwstr>
  </property>
</Properties>
</file>