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F8" w:rsidRPr="003F56F8" w:rsidRDefault="003F56F8" w:rsidP="003F56F8">
      <w:pPr>
        <w:jc w:val="center"/>
        <w:rPr>
          <w:rFonts w:hint="eastAsia"/>
          <w:b/>
          <w:sz w:val="28"/>
          <w:szCs w:val="28"/>
        </w:rPr>
      </w:pPr>
      <w:r w:rsidRPr="003F56F8">
        <w:rPr>
          <w:rFonts w:hint="eastAsia"/>
          <w:b/>
          <w:sz w:val="28"/>
          <w:szCs w:val="28"/>
        </w:rPr>
        <w:t>Executive Summary</w:t>
      </w:r>
    </w:p>
    <w:p w:rsidR="003F56F8" w:rsidRPr="003F56F8" w:rsidRDefault="003F56F8" w:rsidP="003F56F8">
      <w:pPr>
        <w:jc w:val="center"/>
        <w:rPr>
          <w:rFonts w:hint="eastAsia"/>
          <w:sz w:val="28"/>
          <w:szCs w:val="28"/>
        </w:rPr>
      </w:pPr>
    </w:p>
    <w:p w:rsidR="003F56F8" w:rsidRPr="003F56F8" w:rsidRDefault="003F56F8" w:rsidP="003F56F8">
      <w:pPr>
        <w:jc w:val="center"/>
        <w:rPr>
          <w:rFonts w:hint="eastAsia"/>
          <w:sz w:val="24"/>
          <w:szCs w:val="24"/>
        </w:rPr>
      </w:pPr>
      <w:r w:rsidRPr="003F56F8">
        <w:rPr>
          <w:rFonts w:ascii="Arial" w:hAnsi="Arial" w:cs="Arial"/>
          <w:b/>
          <w:sz w:val="24"/>
          <w:szCs w:val="24"/>
        </w:rPr>
        <w:t>Prepare for</w:t>
      </w:r>
      <w:r w:rsidRPr="003F56F8">
        <w:rPr>
          <w:rFonts w:hint="eastAsia"/>
          <w:sz w:val="24"/>
          <w:szCs w:val="24"/>
        </w:rPr>
        <w:t xml:space="preserve"> </w:t>
      </w:r>
      <w:r w:rsidRPr="003F56F8">
        <w:rPr>
          <w:rFonts w:ascii="Arial" w:hAnsi="Arial" w:cs="Arial" w:hint="eastAsia"/>
          <w:b/>
          <w:i/>
          <w:sz w:val="24"/>
          <w:szCs w:val="24"/>
        </w:rPr>
        <w:t xml:space="preserve">Mr. Edgar Goldsmith, VP Business </w:t>
      </w:r>
      <w:r w:rsidRPr="003F56F8">
        <w:rPr>
          <w:rFonts w:ascii="Arial" w:hAnsi="Arial" w:cs="Arial"/>
          <w:b/>
          <w:i/>
          <w:sz w:val="24"/>
          <w:szCs w:val="24"/>
        </w:rPr>
        <w:t>Development</w:t>
      </w:r>
      <w:r w:rsidRPr="003F56F8">
        <w:rPr>
          <w:rFonts w:ascii="Arial" w:hAnsi="Arial" w:cs="Arial" w:hint="eastAsia"/>
          <w:b/>
          <w:i/>
          <w:sz w:val="24"/>
          <w:szCs w:val="24"/>
        </w:rPr>
        <w:t xml:space="preserve"> of </w:t>
      </w:r>
      <w:r w:rsidRPr="003F56F8">
        <w:rPr>
          <w:rFonts w:ascii="Arial" w:hAnsi="Arial" w:cs="Arial"/>
          <w:b/>
          <w:i/>
          <w:sz w:val="24"/>
          <w:szCs w:val="24"/>
        </w:rPr>
        <w:t>P</w:t>
      </w:r>
      <w:r w:rsidRPr="003F56F8">
        <w:rPr>
          <w:rFonts w:ascii="Arial" w:hAnsi="Arial" w:cs="Arial" w:hint="eastAsia"/>
          <w:b/>
          <w:i/>
          <w:sz w:val="24"/>
          <w:szCs w:val="24"/>
        </w:rPr>
        <w:t>latinum Investment Limited</w:t>
      </w:r>
    </w:p>
    <w:p w:rsidR="003F56F8" w:rsidRPr="003F56F8" w:rsidRDefault="003F56F8" w:rsidP="003F56F8">
      <w:pPr>
        <w:jc w:val="center"/>
        <w:rPr>
          <w:rFonts w:hint="eastAsia"/>
          <w:sz w:val="24"/>
          <w:szCs w:val="24"/>
        </w:rPr>
      </w:pPr>
    </w:p>
    <w:p w:rsidR="003F56F8" w:rsidRPr="003F56F8" w:rsidRDefault="003F56F8" w:rsidP="003F56F8">
      <w:pPr>
        <w:jc w:val="center"/>
        <w:rPr>
          <w:rFonts w:hint="eastAsia"/>
          <w:b/>
          <w:sz w:val="24"/>
          <w:szCs w:val="24"/>
        </w:rPr>
      </w:pPr>
      <w:r w:rsidRPr="003F56F8">
        <w:rPr>
          <w:rFonts w:hint="eastAsia"/>
          <w:b/>
          <w:sz w:val="24"/>
          <w:szCs w:val="24"/>
        </w:rPr>
        <w:t>Kyung-Sik Min, Buscom Alpha, Dec 19, 2010</w:t>
      </w:r>
    </w:p>
    <w:p w:rsidR="003F56F8" w:rsidRDefault="003F56F8" w:rsidP="003F56F8">
      <w:pPr>
        <w:jc w:val="center"/>
        <w:rPr>
          <w:rFonts w:hint="eastAsia"/>
        </w:rPr>
      </w:pPr>
    </w:p>
    <w:p w:rsidR="003F56F8" w:rsidRDefault="003F56F8" w:rsidP="003F56F8">
      <w:pPr>
        <w:jc w:val="center"/>
        <w:rPr>
          <w:rFonts w:hint="eastAsia"/>
          <w:b/>
          <w:sz w:val="28"/>
          <w:szCs w:val="28"/>
        </w:rPr>
      </w:pPr>
      <w:r w:rsidRPr="003F56F8">
        <w:rPr>
          <w:rFonts w:hint="eastAsia"/>
          <w:b/>
          <w:sz w:val="28"/>
          <w:szCs w:val="28"/>
        </w:rPr>
        <w:t>의료기기 산업의 중요성과 비전</w:t>
      </w:r>
    </w:p>
    <w:p w:rsidR="003F56F8" w:rsidRPr="003F56F8" w:rsidRDefault="003F56F8" w:rsidP="003F56F8">
      <w:pPr>
        <w:jc w:val="center"/>
        <w:rPr>
          <w:rFonts w:ascii="Arial" w:hAnsi="Arial" w:cs="Arial"/>
          <w:b/>
          <w:sz w:val="28"/>
          <w:szCs w:val="28"/>
        </w:rPr>
      </w:pPr>
    </w:p>
    <w:p w:rsidR="003F56F8" w:rsidRPr="003F56F8" w:rsidRDefault="003F56F8" w:rsidP="003F56F8">
      <w:pPr>
        <w:widowControl/>
        <w:wordWrap/>
        <w:autoSpaceDE/>
        <w:autoSpaceDN/>
        <w:spacing w:line="270" w:lineRule="atLeast"/>
        <w:jc w:val="left"/>
        <w:rPr>
          <w:rFonts w:ascii="Arial" w:eastAsia="굴림" w:hAnsi="Arial" w:cs="Arial"/>
          <w:color w:val="464646"/>
          <w:kern w:val="0"/>
          <w:szCs w:val="20"/>
        </w:rPr>
      </w:pPr>
      <w:r w:rsidRPr="003F56F8">
        <w:rPr>
          <w:rFonts w:ascii="Arial" w:eastAsia="굴림" w:hAnsi="Arial" w:cs="Arial"/>
          <w:color w:val="464646"/>
          <w:kern w:val="0"/>
          <w:szCs w:val="20"/>
        </w:rPr>
        <w:t>의료기기산업은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의료기기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제품의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설계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및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제조에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관련된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다학제간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(interdisciplinary)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기술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임상의학과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전기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전자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기계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재료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광학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등의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제공학이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융합되는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응용기술이며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,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궁극적으로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의료기기를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통한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인간의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삶의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질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향상을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목표로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하는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보건의료의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분야로서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 xml:space="preserve"> </w:t>
      </w:r>
      <w:r w:rsidRPr="003F56F8">
        <w:rPr>
          <w:rFonts w:ascii="Arial" w:eastAsia="굴림" w:hAnsi="Arial" w:cs="Arial"/>
          <w:color w:val="464646"/>
          <w:kern w:val="0"/>
          <w:szCs w:val="20"/>
        </w:rPr>
        <w:t>인</w:t>
      </w:r>
      <w:r w:rsidRPr="003F56F8">
        <w:rPr>
          <w:rFonts w:ascii="Arial" w:hAnsi="Arial" w:cs="Arial"/>
          <w:szCs w:val="20"/>
        </w:rPr>
        <w:t>류가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진화하고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과학기술이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발전함에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따라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의료과학의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중요성이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커지는데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이를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과학적으로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뒷받침할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것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중에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하나가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산업입니다</w:t>
      </w:r>
      <w:r w:rsidRPr="003F56F8">
        <w:rPr>
          <w:rFonts w:ascii="Arial" w:hAnsi="Arial" w:cs="Arial"/>
          <w:szCs w:val="20"/>
        </w:rPr>
        <w:t xml:space="preserve">. </w:t>
      </w:r>
      <w:r w:rsidRPr="003F56F8">
        <w:rPr>
          <w:rFonts w:ascii="Arial" w:hAnsi="Arial" w:cs="Arial"/>
          <w:szCs w:val="20"/>
        </w:rPr>
        <w:t>저는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미래에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각광받고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있는</w:t>
      </w:r>
      <w:r w:rsidRPr="003F56F8">
        <w:rPr>
          <w:rFonts w:ascii="Arial" w:hAnsi="Arial" w:cs="Arial"/>
          <w:szCs w:val="20"/>
        </w:rPr>
        <w:t xml:space="preserve"> 5</w:t>
      </w:r>
      <w:r w:rsidRPr="003F56F8">
        <w:rPr>
          <w:rFonts w:ascii="Arial" w:hAnsi="Arial" w:cs="Arial"/>
          <w:szCs w:val="20"/>
        </w:rPr>
        <w:t>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신수종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사업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중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하나인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산업이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인간과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가장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밀접하게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연관되어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있다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생각하기에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조사를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시작하였습니다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저는</w:t>
      </w:r>
      <w:r w:rsidRPr="003F56F8">
        <w:rPr>
          <w:rFonts w:ascii="Arial" w:hAnsi="Arial" w:cs="Arial"/>
          <w:szCs w:val="20"/>
        </w:rPr>
        <w:t xml:space="preserve"> 2</w:t>
      </w:r>
      <w:r w:rsidRPr="003F56F8">
        <w:rPr>
          <w:rFonts w:ascii="Arial" w:hAnsi="Arial" w:cs="Arial"/>
          <w:szCs w:val="20"/>
        </w:rPr>
        <w:t>가지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측면에서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분석을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해보았습니다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Pr="003F56F8" w:rsidRDefault="003F56F8" w:rsidP="003F56F8">
      <w:pPr>
        <w:pStyle w:val="a5"/>
        <w:numPr>
          <w:ilvl w:val="0"/>
          <w:numId w:val="2"/>
        </w:numPr>
        <w:ind w:leftChars="0"/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의료기기는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산업적인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측면에서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고령화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사회</w:t>
      </w:r>
      <w:r w:rsidRPr="003F56F8">
        <w:rPr>
          <w:rFonts w:ascii="Arial" w:hAnsi="Arial" w:cs="Arial"/>
          <w:szCs w:val="20"/>
        </w:rPr>
        <w:t xml:space="preserve">, </w:t>
      </w:r>
      <w:r w:rsidRPr="003F56F8">
        <w:rPr>
          <w:rFonts w:ascii="Arial" w:hAnsi="Arial" w:cs="Arial"/>
          <w:szCs w:val="20"/>
        </w:rPr>
        <w:t>각종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질병</w:t>
      </w:r>
      <w:r w:rsidRPr="003F56F8">
        <w:rPr>
          <w:rFonts w:ascii="Arial" w:hAnsi="Arial" w:cs="Arial"/>
          <w:szCs w:val="20"/>
        </w:rPr>
        <w:t xml:space="preserve">, </w:t>
      </w:r>
      <w:r w:rsidRPr="003F56F8">
        <w:rPr>
          <w:rFonts w:ascii="Arial" w:hAnsi="Arial" w:cs="Arial"/>
          <w:szCs w:val="20"/>
        </w:rPr>
        <w:t>장애들로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인해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점차</w:t>
      </w:r>
      <w:r w:rsidRPr="003F56F8">
        <w:rPr>
          <w:rFonts w:ascii="Arial" w:hAnsi="Arial" w:cs="Arial"/>
          <w:szCs w:val="20"/>
        </w:rPr>
        <w:t xml:space="preserve"> </w:t>
      </w:r>
    </w:p>
    <w:p w:rsidR="003F56F8" w:rsidRPr="003F56F8" w:rsidRDefault="003F56F8" w:rsidP="003F56F8">
      <w:pPr>
        <w:pStyle w:val="a5"/>
        <w:ind w:leftChars="0" w:left="760"/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그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중요성이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부각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되어지고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있습니다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pStyle w:val="a5"/>
        <w:numPr>
          <w:ilvl w:val="0"/>
          <w:numId w:val="2"/>
        </w:numPr>
        <w:ind w:leftChars="0"/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의료기기는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글로벌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경기에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민감하기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때문에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꾸준한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매출발생이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가능한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산업입니다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최근에는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국내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업체들에게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내수시장의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다양한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기회요인이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발생하고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있습니다</w:t>
      </w:r>
      <w:r w:rsidRPr="003F56F8">
        <w:rPr>
          <w:rFonts w:ascii="Arial" w:hAnsi="Arial" w:cs="Arial"/>
          <w:szCs w:val="20"/>
        </w:rPr>
        <w:t xml:space="preserve">. </w:t>
      </w:r>
      <w:r w:rsidRPr="003F56F8">
        <w:rPr>
          <w:rFonts w:ascii="Arial" w:hAnsi="Arial" w:cs="Arial"/>
          <w:szCs w:val="20"/>
        </w:rPr>
        <w:t>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국가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대비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고령화까지의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소요기간이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가장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빠르기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때문에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고령화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사회로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가속화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될수록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그에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따른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지출의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빠른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증가가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기대됩니다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또한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국내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향상에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따라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고가의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수입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대체될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가능성이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커지고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있습니다</w:t>
      </w:r>
      <w:r w:rsidRPr="003F56F8">
        <w:rPr>
          <w:rFonts w:ascii="Arial" w:hAnsi="Arial" w:cs="Arial"/>
          <w:szCs w:val="20"/>
        </w:rPr>
        <w:t xml:space="preserve">. </w:t>
      </w:r>
      <w:r w:rsidRPr="003F56F8">
        <w:rPr>
          <w:rFonts w:ascii="Arial" w:hAnsi="Arial" w:cs="Arial"/>
          <w:szCs w:val="20"/>
        </w:rPr>
        <w:t>대기업의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시장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참여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또한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시장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규모를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더욱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확대시키고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견고히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긍정적입니다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국내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업체들은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내수보다는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비중이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높기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때문에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글로벌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관점에서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역시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수출국의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내수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시장을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공략한다는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관점에서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우수한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가격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경쟁력을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바탕으로</w:t>
      </w:r>
      <w:r w:rsidRPr="003F56F8">
        <w:rPr>
          <w:rFonts w:ascii="Arial" w:hAnsi="Arial" w:cs="Arial"/>
          <w:szCs w:val="20"/>
        </w:rPr>
        <w:t xml:space="preserve"> Emerging </w:t>
      </w:r>
      <w:r w:rsidRPr="003F56F8">
        <w:rPr>
          <w:rFonts w:ascii="Arial" w:hAnsi="Arial" w:cs="Arial"/>
          <w:szCs w:val="20"/>
        </w:rPr>
        <w:t>시장으로의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진출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확대와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국산화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대체는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의료기기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산업의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성장에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동기부여를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것입니다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  <w:r w:rsidRPr="003F56F8">
        <w:rPr>
          <w:rFonts w:ascii="Arial" w:hAnsi="Arial" w:cs="Arial"/>
          <w:szCs w:val="20"/>
        </w:rPr>
        <w:t>글로벌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업체와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비교해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봐도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실적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성장세는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훨씬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높은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반면</w:t>
      </w:r>
      <w:r w:rsidRPr="003F56F8">
        <w:rPr>
          <w:rFonts w:ascii="Arial" w:hAnsi="Arial" w:cs="Arial"/>
          <w:szCs w:val="20"/>
        </w:rPr>
        <w:t xml:space="preserve">, </w:t>
      </w:r>
      <w:r w:rsidRPr="003F56F8">
        <w:rPr>
          <w:rFonts w:ascii="Arial" w:hAnsi="Arial" w:cs="Arial"/>
          <w:szCs w:val="20"/>
        </w:rPr>
        <w:t>상대적으로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평가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되어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있다는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점도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상당히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매력적으로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작용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할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것</w:t>
      </w:r>
      <w:r w:rsidRPr="003F56F8">
        <w:rPr>
          <w:rFonts w:ascii="Arial" w:hAnsi="Arial" w:cs="Arial"/>
          <w:szCs w:val="20"/>
        </w:rPr>
        <w:t xml:space="preserve"> </w:t>
      </w:r>
      <w:r w:rsidRPr="003F56F8">
        <w:rPr>
          <w:rFonts w:ascii="Arial" w:hAnsi="Arial" w:cs="Arial"/>
          <w:szCs w:val="20"/>
        </w:rPr>
        <w:t>입니다</w:t>
      </w:r>
      <w:r w:rsidRPr="003F56F8">
        <w:rPr>
          <w:rFonts w:ascii="Arial" w:hAnsi="Arial" w:cs="Arial"/>
          <w:szCs w:val="20"/>
        </w:rPr>
        <w:t>.</w:t>
      </w:r>
    </w:p>
    <w:p w:rsidR="003F56F8" w:rsidRPr="003F56F8" w:rsidRDefault="003F56F8" w:rsidP="003F56F8">
      <w:pPr>
        <w:pStyle w:val="a5"/>
        <w:ind w:leftChars="0" w:left="760"/>
        <w:jc w:val="left"/>
        <w:rPr>
          <w:rFonts w:ascii="Arial" w:hAnsi="Arial" w:cs="Arial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Pr="003F56F8" w:rsidRDefault="003F56F8" w:rsidP="003F56F8">
      <w:pPr>
        <w:jc w:val="center"/>
        <w:rPr>
          <w:rFonts w:hint="eastAsia"/>
          <w:b/>
          <w:sz w:val="28"/>
          <w:szCs w:val="28"/>
        </w:rPr>
      </w:pPr>
      <w:r w:rsidRPr="003F56F8">
        <w:rPr>
          <w:rFonts w:hint="eastAsia"/>
          <w:b/>
          <w:sz w:val="28"/>
          <w:szCs w:val="28"/>
        </w:rPr>
        <w:lastRenderedPageBreak/>
        <w:t>Executive Summary</w:t>
      </w:r>
    </w:p>
    <w:p w:rsidR="003F56F8" w:rsidRPr="003F56F8" w:rsidRDefault="003F56F8" w:rsidP="003F56F8">
      <w:pPr>
        <w:jc w:val="center"/>
        <w:rPr>
          <w:rFonts w:hint="eastAsia"/>
          <w:sz w:val="28"/>
          <w:szCs w:val="28"/>
        </w:rPr>
      </w:pPr>
    </w:p>
    <w:p w:rsidR="003F56F8" w:rsidRPr="003F56F8" w:rsidRDefault="003F56F8" w:rsidP="003F56F8">
      <w:pPr>
        <w:jc w:val="center"/>
        <w:rPr>
          <w:rFonts w:hint="eastAsia"/>
          <w:sz w:val="24"/>
          <w:szCs w:val="24"/>
        </w:rPr>
      </w:pPr>
      <w:r w:rsidRPr="003F56F8">
        <w:rPr>
          <w:rFonts w:ascii="Arial" w:hAnsi="Arial" w:cs="Arial"/>
          <w:b/>
          <w:sz w:val="24"/>
          <w:szCs w:val="24"/>
        </w:rPr>
        <w:t>Prepare for</w:t>
      </w:r>
      <w:r w:rsidRPr="003F56F8">
        <w:rPr>
          <w:rFonts w:hint="eastAsia"/>
          <w:sz w:val="24"/>
          <w:szCs w:val="24"/>
        </w:rPr>
        <w:t xml:space="preserve"> </w:t>
      </w:r>
      <w:r w:rsidRPr="003F56F8">
        <w:rPr>
          <w:rFonts w:ascii="Arial" w:hAnsi="Arial" w:cs="Arial" w:hint="eastAsia"/>
          <w:b/>
          <w:i/>
          <w:sz w:val="24"/>
          <w:szCs w:val="24"/>
        </w:rPr>
        <w:t xml:space="preserve">Mr. Edgar Goldsmith, VP Business </w:t>
      </w:r>
      <w:r w:rsidRPr="003F56F8">
        <w:rPr>
          <w:rFonts w:ascii="Arial" w:hAnsi="Arial" w:cs="Arial"/>
          <w:b/>
          <w:i/>
          <w:sz w:val="24"/>
          <w:szCs w:val="24"/>
        </w:rPr>
        <w:t>Development</w:t>
      </w:r>
      <w:r w:rsidRPr="003F56F8">
        <w:rPr>
          <w:rFonts w:ascii="Arial" w:hAnsi="Arial" w:cs="Arial" w:hint="eastAsia"/>
          <w:b/>
          <w:i/>
          <w:sz w:val="24"/>
          <w:szCs w:val="24"/>
        </w:rPr>
        <w:t xml:space="preserve"> of </w:t>
      </w:r>
      <w:r w:rsidRPr="003F56F8">
        <w:rPr>
          <w:rFonts w:ascii="Arial" w:hAnsi="Arial" w:cs="Arial"/>
          <w:b/>
          <w:i/>
          <w:sz w:val="24"/>
          <w:szCs w:val="24"/>
        </w:rPr>
        <w:t>P</w:t>
      </w:r>
      <w:r w:rsidRPr="003F56F8">
        <w:rPr>
          <w:rFonts w:ascii="Arial" w:hAnsi="Arial" w:cs="Arial" w:hint="eastAsia"/>
          <w:b/>
          <w:i/>
          <w:sz w:val="24"/>
          <w:szCs w:val="24"/>
        </w:rPr>
        <w:t>latinum Investment Limited</w:t>
      </w:r>
    </w:p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tbl>
      <w:tblPr>
        <w:tblStyle w:val="a6"/>
        <w:tblW w:w="0" w:type="auto"/>
        <w:tblInd w:w="760" w:type="dxa"/>
        <w:tblLook w:val="04A0"/>
      </w:tblPr>
      <w:tblGrid>
        <w:gridCol w:w="2743"/>
        <w:gridCol w:w="2744"/>
        <w:gridCol w:w="2747"/>
      </w:tblGrid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Year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Market size(</w:t>
            </w:r>
            <w:r>
              <w:rPr>
                <w:rFonts w:ascii="Arial" w:hAnsi="Arial" w:cs="Arial" w:hint="eastAsia"/>
                <w:szCs w:val="20"/>
              </w:rPr>
              <w:t>억원</w:t>
            </w:r>
            <w:r>
              <w:rPr>
                <w:rFonts w:ascii="Arial" w:hAnsi="Arial" w:cs="Arial" w:hint="eastAsia"/>
                <w:szCs w:val="20"/>
              </w:rPr>
              <w:t>)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Growth(%)</w:t>
            </w:r>
          </w:p>
        </w:tc>
      </w:tr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2002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19426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10.4</w:t>
            </w:r>
          </w:p>
        </w:tc>
      </w:tr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2003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20717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 w:firstLineChars="400" w:firstLine="800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6.6</w:t>
            </w:r>
          </w:p>
        </w:tc>
      </w:tr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2004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22969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10.9</w:t>
            </w:r>
          </w:p>
        </w:tc>
      </w:tr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2005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25342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10.3</w:t>
            </w:r>
          </w:p>
        </w:tc>
      </w:tr>
      <w:tr w:rsidR="003F56F8" w:rsidTr="003F56F8">
        <w:trPr>
          <w:trHeight w:val="59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2006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28874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13.9</w:t>
            </w:r>
          </w:p>
        </w:tc>
      </w:tr>
      <w:tr w:rsidR="003F56F8" w:rsidTr="003F56F8">
        <w:trPr>
          <w:trHeight w:val="637"/>
        </w:trPr>
        <w:tc>
          <w:tcPr>
            <w:tcW w:w="2743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2007</w:t>
            </w:r>
          </w:p>
        </w:tc>
        <w:tc>
          <w:tcPr>
            <w:tcW w:w="2744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32592</w:t>
            </w:r>
          </w:p>
        </w:tc>
        <w:tc>
          <w:tcPr>
            <w:tcW w:w="2747" w:type="dxa"/>
          </w:tcPr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</w:p>
          <w:p w:rsidR="003F56F8" w:rsidRDefault="003F56F8" w:rsidP="003F56F8">
            <w:pPr>
              <w:pStyle w:val="a5"/>
              <w:ind w:leftChars="0" w:left="0"/>
              <w:jc w:val="center"/>
              <w:rPr>
                <w:rFonts w:ascii="Arial" w:hAnsi="Arial" w:cs="Arial" w:hint="eastAsia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12.9</w:t>
            </w:r>
          </w:p>
        </w:tc>
      </w:tr>
    </w:tbl>
    <w:p w:rsidR="003F56F8" w:rsidRDefault="003F56F8" w:rsidP="003F56F8">
      <w:pPr>
        <w:pStyle w:val="a5"/>
        <w:ind w:leftChars="0" w:left="760"/>
        <w:jc w:val="left"/>
        <w:rPr>
          <w:rFonts w:ascii="Arial" w:hAnsi="Arial" w:cs="Arial" w:hint="eastAsia"/>
          <w:szCs w:val="20"/>
        </w:rPr>
      </w:pPr>
    </w:p>
    <w:p w:rsidR="003F56F8" w:rsidRPr="003F56F8" w:rsidRDefault="003F56F8" w:rsidP="003F56F8">
      <w:pPr>
        <w:widowControl/>
        <w:wordWrap/>
        <w:autoSpaceDE/>
        <w:autoSpaceDN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3F56F8">
        <w:rPr>
          <w:rFonts w:ascii="Arial" w:eastAsia="돋움" w:hAnsi="Arial" w:cs="Arial"/>
          <w:color w:val="333333"/>
          <w:kern w:val="0"/>
          <w:szCs w:val="20"/>
        </w:rPr>
        <w:t>의료기기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시장의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성장에는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크게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가지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중요한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요인이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작용하고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있다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첫째는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의료기관을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중심으로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수요가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많아지고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있다는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점이다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우리나라는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간의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경쟁이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치열해짐에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따라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첨단장비의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여부가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의료기관에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대한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평가에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중요한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변수로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작용하므로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동네의원마저도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영상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진단장치인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CT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MRI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구비하는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경우가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있는데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이는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외국에서는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거의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힘든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현상이다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.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이러한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현상은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영상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진단장치의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수입을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증가시켜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무역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역조에도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영향을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주고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있으며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영상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진단장치의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보급률은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OECD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평균의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2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배가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넘는다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</w:p>
    <w:p w:rsidR="003F56F8" w:rsidRPr="003F56F8" w:rsidRDefault="003F56F8" w:rsidP="003F56F8">
      <w:pPr>
        <w:widowControl/>
        <w:wordWrap/>
        <w:autoSpaceDE/>
        <w:autoSpaceDN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3F56F8">
        <w:rPr>
          <w:rFonts w:ascii="Arial" w:eastAsia="돋움" w:hAnsi="Arial" w:cs="Arial"/>
          <w:color w:val="333333"/>
          <w:kern w:val="0"/>
          <w:szCs w:val="20"/>
        </w:rPr>
        <w:t>최근의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통계에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따르면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의료기관의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의료장비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대수는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종합병원의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경우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연평균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15%,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일반의원의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경우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약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6.6%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증가세를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나타내고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있는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것으로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조사되었다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우리나라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시장의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특징은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얼리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어댑터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(early adaptor)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많다는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것인데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이러한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특성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때문에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신제품에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대한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시장성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테스트에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우리나라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시장이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매우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적합하다고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한다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.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분야에도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이러한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소비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특성이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반영되어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나타나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의료장비나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첨단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대한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선호도가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높은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것으로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보여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진다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</w:p>
    <w:p w:rsidR="003F56F8" w:rsidRPr="003F56F8" w:rsidRDefault="003F56F8" w:rsidP="003F56F8">
      <w:pPr>
        <w:widowControl/>
        <w:wordWrap/>
        <w:autoSpaceDE/>
        <w:autoSpaceDN/>
        <w:jc w:val="left"/>
        <w:rPr>
          <w:rFonts w:ascii="Arial" w:eastAsia="돋움" w:hAnsi="Arial" w:cs="Arial"/>
          <w:color w:val="333333"/>
          <w:kern w:val="0"/>
          <w:szCs w:val="20"/>
        </w:rPr>
      </w:pPr>
    </w:p>
    <w:p w:rsidR="003F56F8" w:rsidRPr="003F56F8" w:rsidRDefault="003F56F8" w:rsidP="003F56F8">
      <w:pPr>
        <w:widowControl/>
        <w:wordWrap/>
        <w:autoSpaceDE/>
        <w:autoSpaceDN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3F56F8">
        <w:rPr>
          <w:rFonts w:ascii="Arial" w:eastAsia="돋움" w:hAnsi="Arial" w:cs="Arial"/>
          <w:color w:val="333333"/>
          <w:kern w:val="0"/>
          <w:szCs w:val="20"/>
        </w:rPr>
        <w:t>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번째는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앞서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살펴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본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인구의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고령화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때문이다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각종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경제관련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연구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보고서나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금융기관의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분석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자료에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의료기기산업의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전망을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긍정적으로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평가하는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이유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중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빠지지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않는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요인이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인구의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고령화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현상이다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br/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인구의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고령화로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가정용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사용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층인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노인층이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많아지면서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가정에서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사용이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증가하게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된다는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점과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노인환자의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따라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병의원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및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요양시설에서의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사용도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증가하게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된다는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점이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인구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고령화에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따른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의료기기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시장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증가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 xml:space="preserve"> 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요인이다</w:t>
      </w:r>
      <w:r w:rsidRPr="003F56F8">
        <w:rPr>
          <w:rFonts w:ascii="Arial" w:eastAsia="돋움" w:hAnsi="Arial" w:cs="Arial"/>
          <w:color w:val="333333"/>
          <w:kern w:val="0"/>
          <w:szCs w:val="20"/>
        </w:rPr>
        <w:t>.</w:t>
      </w:r>
    </w:p>
    <w:p w:rsidR="003F56F8" w:rsidRPr="003F56F8" w:rsidRDefault="003F56F8" w:rsidP="003F56F8">
      <w:pPr>
        <w:jc w:val="left"/>
        <w:rPr>
          <w:rFonts w:ascii="Arial" w:hAnsi="Arial" w:cs="Arial"/>
          <w:szCs w:val="20"/>
        </w:rPr>
      </w:pPr>
    </w:p>
    <w:p w:rsidR="003F56F8" w:rsidRDefault="003F56F8" w:rsidP="003F56F8">
      <w:pPr>
        <w:jc w:val="left"/>
        <w:rPr>
          <w:rFonts w:ascii="Arial" w:hAnsi="Arial" w:cs="Arial" w:hint="eastAsia"/>
          <w:szCs w:val="20"/>
        </w:rPr>
      </w:pPr>
    </w:p>
    <w:p w:rsidR="003F56F8" w:rsidRPr="003F56F8" w:rsidRDefault="003F56F8" w:rsidP="003F56F8">
      <w:pPr>
        <w:jc w:val="lef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noProof/>
          <w:szCs w:val="20"/>
        </w:rPr>
        <w:pict>
          <v:rect id="_x0000_s2050" style="position:absolute;margin-left:5.25pt;margin-top:6.8pt;width:439.5pt;height:54pt;z-index:251658240">
            <v:textbox>
              <w:txbxContent>
                <w:p w:rsidR="003F56F8" w:rsidRDefault="003F56F8">
                  <w:pPr>
                    <w:rPr>
                      <w:rFonts w:hint="eastAsia"/>
                    </w:rPr>
                  </w:pPr>
                </w:p>
                <w:p w:rsidR="003F56F8" w:rsidRDefault="003F56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KEY WORDS :  의료기기 산업, 고령화 사회, </w:t>
                  </w:r>
                  <w:r>
                    <w:t>가치</w:t>
                  </w:r>
                  <w:r>
                    <w:rPr>
                      <w:rFonts w:hint="eastAsia"/>
                    </w:rPr>
                    <w:t xml:space="preserve"> 저 평가, 신수종 산업, 수입의료기기 대체</w:t>
                  </w:r>
                </w:p>
                <w:p w:rsidR="003F56F8" w:rsidRDefault="003F56F8"/>
              </w:txbxContent>
            </v:textbox>
          </v:rect>
        </w:pict>
      </w:r>
    </w:p>
    <w:sectPr w:rsidR="003F56F8" w:rsidRPr="003F56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35" w:rsidRDefault="008F6E35" w:rsidP="003F56F8">
      <w:r>
        <w:separator/>
      </w:r>
    </w:p>
  </w:endnote>
  <w:endnote w:type="continuationSeparator" w:id="1">
    <w:p w:rsidR="008F6E35" w:rsidRDefault="008F6E35" w:rsidP="003F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35" w:rsidRDefault="008F6E35" w:rsidP="003F56F8">
      <w:r>
        <w:separator/>
      </w:r>
    </w:p>
  </w:footnote>
  <w:footnote w:type="continuationSeparator" w:id="1">
    <w:p w:rsidR="008F6E35" w:rsidRDefault="008F6E35" w:rsidP="003F5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7E7"/>
    <w:multiLevelType w:val="hybridMultilevel"/>
    <w:tmpl w:val="B064713A"/>
    <w:lvl w:ilvl="0" w:tplc="C27E0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17525B"/>
    <w:multiLevelType w:val="hybridMultilevel"/>
    <w:tmpl w:val="397804E2"/>
    <w:lvl w:ilvl="0" w:tplc="3ECEE9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6F8"/>
    <w:rsid w:val="003F56F8"/>
    <w:rsid w:val="008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F56F8"/>
  </w:style>
  <w:style w:type="paragraph" w:styleId="a4">
    <w:name w:val="footer"/>
    <w:basedOn w:val="a"/>
    <w:link w:val="Char0"/>
    <w:uiPriority w:val="99"/>
    <w:semiHidden/>
    <w:unhideWhenUsed/>
    <w:rsid w:val="003F5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F56F8"/>
  </w:style>
  <w:style w:type="paragraph" w:styleId="a5">
    <w:name w:val="List Paragraph"/>
    <w:basedOn w:val="a"/>
    <w:uiPriority w:val="34"/>
    <w:qFormat/>
    <w:rsid w:val="003F56F8"/>
    <w:pPr>
      <w:ind w:leftChars="400" w:left="800"/>
    </w:pPr>
  </w:style>
  <w:style w:type="table" w:styleId="a6">
    <w:name w:val="Table Grid"/>
    <w:basedOn w:val="a1"/>
    <w:uiPriority w:val="59"/>
    <w:rsid w:val="003F5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/>
  <cp:lastModifiedBy>mania</cp:lastModifiedBy>
  <cp:revision>1</cp:revision>
  <dcterms:created xsi:type="dcterms:W3CDTF">2010-12-20T10:42:00Z</dcterms:created>
  <dcterms:modified xsi:type="dcterms:W3CDTF">2010-12-20T11:17:00Z</dcterms:modified>
</cp:coreProperties>
</file>