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emf" ContentType="image/x-em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  <w:r w:rsidRPr="00482173">
        <w:rPr>
          <w:rFonts w:ascii="Arial" w:hAnsi="Arial" w:cs="Arial"/>
        </w:rPr>
        <w:t>Computer Project #2</w:t>
      </w:r>
    </w:p>
    <w:p w:rsidR="000C5FE8" w:rsidRPr="00482173" w:rsidRDefault="000C5FE8" w:rsidP="000C5FE8">
      <w:pPr>
        <w:jc w:val="center"/>
        <w:rPr>
          <w:rFonts w:ascii="Arial" w:hAnsi="Arial" w:cs="Arial"/>
        </w:rPr>
      </w:pPr>
      <w:r w:rsidRPr="00482173">
        <w:rPr>
          <w:rFonts w:ascii="Arial" w:hAnsi="Arial" w:cs="Arial"/>
        </w:rPr>
        <w:t>Calcutta Paper Procurement</w:t>
      </w: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</w:p>
    <w:p w:rsidR="000C5FE8" w:rsidRPr="00482173" w:rsidRDefault="000C5FE8" w:rsidP="000C5FE8">
      <w:pPr>
        <w:jc w:val="center"/>
        <w:rPr>
          <w:rFonts w:ascii="Arial" w:hAnsi="Arial" w:cs="Arial"/>
        </w:rPr>
      </w:pPr>
      <w:r w:rsidRPr="00482173">
        <w:rPr>
          <w:rFonts w:ascii="Arial" w:hAnsi="Arial" w:cs="Arial"/>
        </w:rPr>
        <w:t>By Erica Franco</w:t>
      </w:r>
    </w:p>
    <w:p w:rsidR="000C5FE8" w:rsidRPr="00482173" w:rsidRDefault="000C5FE8" w:rsidP="000C5FE8">
      <w:pPr>
        <w:jc w:val="center"/>
        <w:rPr>
          <w:rFonts w:ascii="Arial" w:hAnsi="Arial" w:cs="Arial"/>
        </w:rPr>
      </w:pPr>
      <w:r w:rsidRPr="00482173">
        <w:rPr>
          <w:rFonts w:ascii="Arial" w:hAnsi="Arial" w:cs="Arial"/>
        </w:rPr>
        <w:t>Dr. R.E. Davis</w:t>
      </w:r>
    </w:p>
    <w:p w:rsidR="000C5FE8" w:rsidRPr="00482173" w:rsidRDefault="000C5FE8" w:rsidP="000C5FE8">
      <w:pPr>
        <w:jc w:val="center"/>
        <w:rPr>
          <w:rFonts w:ascii="Arial" w:hAnsi="Arial" w:cs="Arial"/>
        </w:rPr>
      </w:pPr>
      <w:r w:rsidRPr="00482173">
        <w:rPr>
          <w:rFonts w:ascii="Arial" w:hAnsi="Arial" w:cs="Arial"/>
        </w:rPr>
        <w:t>April 20, 2008</w:t>
      </w: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Default="000C5FE8">
      <w:pPr>
        <w:rPr>
          <w:rFonts w:ascii="Arial" w:hAnsi="Arial" w:cs="Arial"/>
        </w:rPr>
      </w:pPr>
    </w:p>
    <w:p w:rsidR="001D12EC" w:rsidRPr="00482173" w:rsidRDefault="001D12EC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0C5FE8">
      <w:pPr>
        <w:rPr>
          <w:rFonts w:ascii="Arial" w:hAnsi="Arial" w:cs="Arial"/>
        </w:rPr>
      </w:pPr>
    </w:p>
    <w:p w:rsidR="000C5FE8" w:rsidRPr="00482173" w:rsidRDefault="00156A95" w:rsidP="000C5FE8">
      <w:pPr>
        <w:jc w:val="center"/>
        <w:rPr>
          <w:rFonts w:ascii="Arial" w:hAnsi="Arial" w:cs="Arial"/>
          <w:b/>
        </w:rPr>
      </w:pPr>
      <w:r w:rsidRPr="00156A95">
        <w:rPr>
          <w:rFonts w:ascii="Arial" w:hAnsi="Arial" w:cs="Arial"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.25pt;margin-top:20pt;width:460.8pt;height:0;z-index:251663872" o:connectortype="straight" strokeweight="1pt">
            <v:stroke startarrow="diamond" endarrow="diamond"/>
          </v:shape>
        </w:pict>
      </w:r>
      <w:r>
        <w:rPr>
          <w:rFonts w:ascii="Arial" w:hAnsi="Arial" w:cs="Arial"/>
          <w:b/>
          <w:noProof/>
        </w:rPr>
        <w:pict>
          <v:shape id="_x0000_s1043" type="#_x0000_t32" style="position:absolute;left:0;text-align:left;margin-left:1pt;margin-top:-4pt;width:460.8pt;height:0;z-index:251662848" o:connectortype="straight" strokeweight="1pt">
            <v:stroke startarrow="diamond" endarrow="diamond"/>
          </v:shape>
        </w:pict>
      </w:r>
      <w:r w:rsidR="000C5FE8" w:rsidRPr="00482173">
        <w:rPr>
          <w:rFonts w:ascii="Arial" w:hAnsi="Arial" w:cs="Arial"/>
          <w:b/>
        </w:rPr>
        <w:t>EXECUTIVE SUMMARY</w:t>
      </w:r>
    </w:p>
    <w:p w:rsidR="000C5FE8" w:rsidRPr="00482173" w:rsidRDefault="000C5FE8">
      <w:pPr>
        <w:rPr>
          <w:rFonts w:ascii="Arial" w:hAnsi="Arial" w:cs="Arial"/>
        </w:rPr>
      </w:pPr>
    </w:p>
    <w:p w:rsidR="00CD5E56" w:rsidRPr="00482173" w:rsidRDefault="00CD5E56" w:rsidP="00CD5E56">
      <w:pPr>
        <w:rPr>
          <w:rFonts w:ascii="Arial" w:hAnsi="Arial" w:cs="Arial"/>
          <w:b/>
        </w:rPr>
      </w:pPr>
      <w:r w:rsidRPr="00482173">
        <w:rPr>
          <w:rFonts w:ascii="Arial" w:hAnsi="Arial" w:cs="Arial"/>
          <w:b/>
        </w:rPr>
        <w:t>Problem Description</w:t>
      </w:r>
    </w:p>
    <w:p w:rsidR="00EB3E57" w:rsidRPr="00482173" w:rsidRDefault="002378BE" w:rsidP="002F6325">
      <w:pPr>
        <w:jc w:val="both"/>
        <w:rPr>
          <w:rFonts w:ascii="Arial" w:hAnsi="Arial" w:cs="Arial"/>
        </w:rPr>
      </w:pPr>
      <w:r w:rsidRPr="00482173">
        <w:rPr>
          <w:rFonts w:ascii="Arial" w:hAnsi="Arial" w:cs="Arial"/>
        </w:rPr>
        <w:t xml:space="preserve">Ari Patel is the procurement manager at the Calcutta Container Company that produces a variety of corrugated containers from various grades of paper.  </w:t>
      </w:r>
      <w:r w:rsidR="00153439" w:rsidRPr="00482173">
        <w:rPr>
          <w:rFonts w:ascii="Arial" w:hAnsi="Arial" w:cs="Arial"/>
        </w:rPr>
        <w:t xml:space="preserve">Ari has identified </w:t>
      </w:r>
      <w:r w:rsidRPr="00482173">
        <w:rPr>
          <w:rFonts w:ascii="Arial" w:hAnsi="Arial" w:cs="Arial"/>
        </w:rPr>
        <w:t xml:space="preserve">three suppliers that </w:t>
      </w:r>
      <w:r w:rsidR="00153439" w:rsidRPr="00482173">
        <w:rPr>
          <w:rFonts w:ascii="Arial" w:hAnsi="Arial" w:cs="Arial"/>
        </w:rPr>
        <w:t xml:space="preserve">can </w:t>
      </w:r>
      <w:r w:rsidRPr="00482173">
        <w:rPr>
          <w:rFonts w:ascii="Arial" w:hAnsi="Arial" w:cs="Arial"/>
        </w:rPr>
        <w:t xml:space="preserve">provide </w:t>
      </w:r>
      <w:r w:rsidR="00153439" w:rsidRPr="00482173">
        <w:rPr>
          <w:rFonts w:ascii="Arial" w:hAnsi="Arial" w:cs="Arial"/>
        </w:rPr>
        <w:t>the required</w:t>
      </w:r>
      <w:r w:rsidRPr="00482173">
        <w:rPr>
          <w:rFonts w:ascii="Arial" w:hAnsi="Arial" w:cs="Arial"/>
        </w:rPr>
        <w:t xml:space="preserve"> grades of paper to two plants.  Monthly demands have been forecast in six grade categories for each of the two plants</w:t>
      </w:r>
      <w:r w:rsidR="00153439" w:rsidRPr="00482173">
        <w:rPr>
          <w:rFonts w:ascii="Arial" w:hAnsi="Arial" w:cs="Arial"/>
        </w:rPr>
        <w:t>.  T</w:t>
      </w:r>
      <w:r w:rsidR="00CD5E56" w:rsidRPr="00482173">
        <w:rPr>
          <w:rFonts w:ascii="Arial" w:hAnsi="Arial" w:cs="Arial"/>
        </w:rPr>
        <w:t xml:space="preserve">he objective is to decide </w:t>
      </w:r>
      <w:r w:rsidRPr="00482173">
        <w:rPr>
          <w:rFonts w:ascii="Arial" w:hAnsi="Arial" w:cs="Arial"/>
        </w:rPr>
        <w:t>how much of each g</w:t>
      </w:r>
      <w:r w:rsidR="00CD5E56" w:rsidRPr="00482173">
        <w:rPr>
          <w:rFonts w:ascii="Arial" w:hAnsi="Arial" w:cs="Arial"/>
        </w:rPr>
        <w:t xml:space="preserve">rade to buy from each supplier and </w:t>
      </w:r>
      <w:r w:rsidRPr="00482173">
        <w:rPr>
          <w:rFonts w:ascii="Arial" w:hAnsi="Arial" w:cs="Arial"/>
        </w:rPr>
        <w:t>the shipping instructions to give to each supplier</w:t>
      </w:r>
      <w:r w:rsidR="00CD5E56" w:rsidRPr="00482173">
        <w:rPr>
          <w:rFonts w:ascii="Arial" w:hAnsi="Arial" w:cs="Arial"/>
        </w:rPr>
        <w:t xml:space="preserve"> by creating a </w:t>
      </w:r>
      <w:r w:rsidRPr="00482173">
        <w:rPr>
          <w:rFonts w:ascii="Arial" w:hAnsi="Arial" w:cs="Arial"/>
        </w:rPr>
        <w:t xml:space="preserve">least cost procurement </w:t>
      </w:r>
      <w:r w:rsidR="005E2C87" w:rsidRPr="00482173">
        <w:rPr>
          <w:rFonts w:ascii="Arial" w:hAnsi="Arial" w:cs="Arial"/>
        </w:rPr>
        <w:t xml:space="preserve">(minimization) </w:t>
      </w:r>
      <w:r w:rsidRPr="00482173">
        <w:rPr>
          <w:rFonts w:ascii="Arial" w:hAnsi="Arial" w:cs="Arial"/>
        </w:rPr>
        <w:t>plan</w:t>
      </w:r>
      <w:r w:rsidR="00CD5E56" w:rsidRPr="00482173">
        <w:rPr>
          <w:rFonts w:ascii="Arial" w:hAnsi="Arial" w:cs="Arial"/>
        </w:rPr>
        <w:t xml:space="preserve"> that considers</w:t>
      </w:r>
      <w:r w:rsidRPr="00482173">
        <w:rPr>
          <w:rFonts w:ascii="Arial" w:hAnsi="Arial" w:cs="Arial"/>
        </w:rPr>
        <w:t xml:space="preserve"> both paper cost and shipping cost.</w:t>
      </w:r>
    </w:p>
    <w:p w:rsidR="00CD5E56" w:rsidRPr="00482173" w:rsidRDefault="00CD5E56" w:rsidP="002F6325">
      <w:pPr>
        <w:tabs>
          <w:tab w:val="left" w:pos="3660"/>
        </w:tabs>
        <w:jc w:val="both"/>
        <w:rPr>
          <w:rFonts w:ascii="Arial" w:hAnsi="Arial" w:cs="Arial"/>
          <w:b/>
        </w:rPr>
      </w:pPr>
      <w:r w:rsidRPr="00482173">
        <w:rPr>
          <w:rFonts w:ascii="Arial" w:hAnsi="Arial" w:cs="Arial"/>
          <w:b/>
        </w:rPr>
        <w:t>List of Methodologies/Tools Used</w:t>
      </w:r>
    </w:p>
    <w:p w:rsidR="00682309" w:rsidRPr="00482173" w:rsidRDefault="00197A64" w:rsidP="002F6325">
      <w:pPr>
        <w:tabs>
          <w:tab w:val="left" w:pos="3660"/>
        </w:tabs>
        <w:jc w:val="both"/>
        <w:rPr>
          <w:rFonts w:ascii="Arial" w:hAnsi="Arial" w:cs="Arial"/>
        </w:rPr>
      </w:pPr>
      <w:r w:rsidRPr="00482173">
        <w:rPr>
          <w:rFonts w:ascii="Arial" w:hAnsi="Arial" w:cs="Arial"/>
        </w:rPr>
        <w:t xml:space="preserve">Ari compiled the preliminary data tables </w:t>
      </w:r>
      <w:r w:rsidR="002F6325">
        <w:rPr>
          <w:rFonts w:ascii="Arial" w:hAnsi="Arial" w:cs="Arial"/>
        </w:rPr>
        <w:t xml:space="preserve">(Exhibit A) </w:t>
      </w:r>
      <w:r w:rsidRPr="00482173">
        <w:rPr>
          <w:rFonts w:ascii="Arial" w:hAnsi="Arial" w:cs="Arial"/>
        </w:rPr>
        <w:t>required for the analysis which include: demand</w:t>
      </w:r>
      <w:r w:rsidR="002F6325">
        <w:rPr>
          <w:rFonts w:ascii="Arial" w:hAnsi="Arial" w:cs="Arial"/>
        </w:rPr>
        <w:t>,</w:t>
      </w:r>
      <w:r w:rsidRPr="00482173">
        <w:rPr>
          <w:rFonts w:ascii="Arial" w:hAnsi="Arial" w:cs="Arial"/>
        </w:rPr>
        <w:t xml:space="preserve"> supply</w:t>
      </w:r>
      <w:r w:rsidR="002F6325">
        <w:rPr>
          <w:rFonts w:ascii="Arial" w:hAnsi="Arial" w:cs="Arial"/>
        </w:rPr>
        <w:t xml:space="preserve">, </w:t>
      </w:r>
      <w:r w:rsidRPr="00482173">
        <w:rPr>
          <w:rFonts w:ascii="Arial" w:hAnsi="Arial" w:cs="Arial"/>
        </w:rPr>
        <w:t>price per ton</w:t>
      </w:r>
      <w:r w:rsidR="002F6325">
        <w:rPr>
          <w:rFonts w:ascii="Arial" w:hAnsi="Arial" w:cs="Arial"/>
        </w:rPr>
        <w:t xml:space="preserve">, </w:t>
      </w:r>
      <w:r w:rsidRPr="00482173">
        <w:rPr>
          <w:rFonts w:ascii="Arial" w:hAnsi="Arial" w:cs="Arial"/>
        </w:rPr>
        <w:t>and shipping cost</w:t>
      </w:r>
      <w:r w:rsidR="002F6325">
        <w:rPr>
          <w:rFonts w:ascii="Arial" w:hAnsi="Arial" w:cs="Arial"/>
        </w:rPr>
        <w:t xml:space="preserve"> dollars per ton respective to plant distance</w:t>
      </w:r>
      <w:r w:rsidRPr="00482173">
        <w:rPr>
          <w:rFonts w:ascii="Arial" w:hAnsi="Arial" w:cs="Arial"/>
        </w:rPr>
        <w:t>.</w:t>
      </w:r>
      <w:r w:rsidR="005E2C87" w:rsidRPr="00482173">
        <w:rPr>
          <w:rFonts w:ascii="Arial" w:hAnsi="Arial" w:cs="Arial"/>
        </w:rPr>
        <w:t xml:space="preserve"> </w:t>
      </w:r>
      <w:r w:rsidRPr="00482173">
        <w:rPr>
          <w:rFonts w:ascii="Arial" w:hAnsi="Arial" w:cs="Arial"/>
        </w:rPr>
        <w:t xml:space="preserve">  These tables were the foundations to construct the linear programming problem statement</w:t>
      </w:r>
      <w:r w:rsidR="002F6325">
        <w:rPr>
          <w:rFonts w:ascii="Arial" w:hAnsi="Arial" w:cs="Arial"/>
        </w:rPr>
        <w:t xml:space="preserve"> (Exhibit B)</w:t>
      </w:r>
      <w:r w:rsidRPr="00482173">
        <w:rPr>
          <w:rFonts w:ascii="Arial" w:hAnsi="Arial" w:cs="Arial"/>
        </w:rPr>
        <w:t xml:space="preserve">.  Ari was able to leverage </w:t>
      </w:r>
      <w:r w:rsidR="00682309" w:rsidRPr="00482173">
        <w:rPr>
          <w:rFonts w:ascii="Arial" w:hAnsi="Arial" w:cs="Arial"/>
        </w:rPr>
        <w:t xml:space="preserve">a linear programming software tool, Microsoft Excel </w:t>
      </w:r>
      <w:r w:rsidR="002F6325">
        <w:rPr>
          <w:rFonts w:ascii="Arial" w:hAnsi="Arial" w:cs="Arial"/>
        </w:rPr>
        <w:t xml:space="preserve">and the </w:t>
      </w:r>
      <w:r w:rsidR="00682309" w:rsidRPr="00482173">
        <w:rPr>
          <w:rFonts w:ascii="Arial" w:hAnsi="Arial" w:cs="Arial"/>
        </w:rPr>
        <w:t>Solver Add</w:t>
      </w:r>
      <w:r w:rsidRPr="00482173">
        <w:rPr>
          <w:rFonts w:ascii="Arial" w:hAnsi="Arial" w:cs="Arial"/>
        </w:rPr>
        <w:t>-I</w:t>
      </w:r>
      <w:r w:rsidR="00682309" w:rsidRPr="00482173">
        <w:rPr>
          <w:rFonts w:ascii="Arial" w:hAnsi="Arial" w:cs="Arial"/>
        </w:rPr>
        <w:t>n</w:t>
      </w:r>
      <w:r w:rsidR="005E2C87" w:rsidRPr="00482173">
        <w:rPr>
          <w:rFonts w:ascii="Arial" w:hAnsi="Arial" w:cs="Arial"/>
        </w:rPr>
        <w:t xml:space="preserve"> </w:t>
      </w:r>
      <w:r w:rsidR="002F6325">
        <w:rPr>
          <w:rFonts w:ascii="Arial" w:hAnsi="Arial" w:cs="Arial"/>
        </w:rPr>
        <w:t xml:space="preserve">to </w:t>
      </w:r>
      <w:r w:rsidR="00682309" w:rsidRPr="00482173">
        <w:rPr>
          <w:rFonts w:ascii="Arial" w:hAnsi="Arial" w:cs="Arial"/>
        </w:rPr>
        <w:t xml:space="preserve">analyze </w:t>
      </w:r>
      <w:r w:rsidRPr="00482173">
        <w:rPr>
          <w:rFonts w:ascii="Arial" w:hAnsi="Arial" w:cs="Arial"/>
        </w:rPr>
        <w:t xml:space="preserve">the variables and constraints </w:t>
      </w:r>
      <w:r w:rsidR="002F6325">
        <w:rPr>
          <w:rFonts w:ascii="Arial" w:hAnsi="Arial" w:cs="Arial"/>
        </w:rPr>
        <w:t>and derive</w:t>
      </w:r>
      <w:r w:rsidRPr="00482173">
        <w:rPr>
          <w:rFonts w:ascii="Arial" w:hAnsi="Arial" w:cs="Arial"/>
        </w:rPr>
        <w:t xml:space="preserve"> an optimal </w:t>
      </w:r>
      <w:r w:rsidR="00682309" w:rsidRPr="00482173">
        <w:rPr>
          <w:rFonts w:ascii="Arial" w:hAnsi="Arial" w:cs="Arial"/>
        </w:rPr>
        <w:t>solution</w:t>
      </w:r>
      <w:r w:rsidR="002F6325">
        <w:rPr>
          <w:rFonts w:ascii="Arial" w:hAnsi="Arial" w:cs="Arial"/>
        </w:rPr>
        <w:t xml:space="preserve">. The built in </w:t>
      </w:r>
      <w:r w:rsidR="00682309" w:rsidRPr="00482173">
        <w:rPr>
          <w:rFonts w:ascii="Arial" w:hAnsi="Arial" w:cs="Arial"/>
        </w:rPr>
        <w:t>Sensitivity and Answer reports</w:t>
      </w:r>
      <w:r w:rsidRPr="00482173">
        <w:rPr>
          <w:rFonts w:ascii="Arial" w:hAnsi="Arial" w:cs="Arial"/>
        </w:rPr>
        <w:t xml:space="preserve"> </w:t>
      </w:r>
      <w:r w:rsidR="002F6325">
        <w:rPr>
          <w:rFonts w:ascii="Arial" w:hAnsi="Arial" w:cs="Arial"/>
        </w:rPr>
        <w:t>enabled Ari to determine the low cost leader by supplier and grade</w:t>
      </w:r>
      <w:r w:rsidRPr="00482173">
        <w:rPr>
          <w:rFonts w:ascii="Arial" w:hAnsi="Arial" w:cs="Arial"/>
        </w:rPr>
        <w:t>.</w:t>
      </w:r>
      <w:r w:rsidR="002F6325">
        <w:rPr>
          <w:rFonts w:ascii="Arial" w:hAnsi="Arial" w:cs="Arial"/>
        </w:rPr>
        <w:t xml:space="preserve">  Ari added additional constraints to analyze what benefit his company could realize if they were to choose to participate in the quantity discount program his suppliers offered.</w:t>
      </w:r>
    </w:p>
    <w:p w:rsidR="00CD5E56" w:rsidRPr="00482173" w:rsidRDefault="00CD5E56" w:rsidP="002F6325">
      <w:pPr>
        <w:jc w:val="both"/>
        <w:rPr>
          <w:rFonts w:ascii="Arial" w:hAnsi="Arial" w:cs="Arial"/>
          <w:b/>
        </w:rPr>
      </w:pPr>
      <w:r w:rsidRPr="00482173">
        <w:rPr>
          <w:rFonts w:ascii="Arial" w:hAnsi="Arial" w:cs="Arial"/>
          <w:b/>
        </w:rPr>
        <w:t>Principal Results</w:t>
      </w:r>
    </w:p>
    <w:p w:rsidR="00F3697F" w:rsidRPr="00482173" w:rsidRDefault="008563E3" w:rsidP="002F6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optimal solution for this linear programming minimization problem is detailed in the spreadsheet attachment section of this paper.  In summary: total paper cost came to $574,620.00; shipping cost to both plants totaled $64,139.63 for a total procurement cost of $638,759.63.  </w:t>
      </w:r>
      <w:r w:rsidR="002F6325">
        <w:rPr>
          <w:rFonts w:ascii="Arial" w:hAnsi="Arial" w:cs="Arial"/>
        </w:rPr>
        <w:t>Per the sensitivity report results the following table was created to display supplier and paper grade combinations that yield the greatest benefit from increased quantities.</w:t>
      </w:r>
    </w:p>
    <w:tbl>
      <w:tblPr>
        <w:tblStyle w:val="ColorfulList-Accent2"/>
        <w:tblW w:w="0" w:type="auto"/>
        <w:tblLook w:val="04A0"/>
      </w:tblPr>
      <w:tblGrid>
        <w:gridCol w:w="1998"/>
        <w:gridCol w:w="2409"/>
        <w:gridCol w:w="2478"/>
        <w:gridCol w:w="2673"/>
      </w:tblGrid>
      <w:tr w:rsidR="007D1CDC">
        <w:trPr>
          <w:cnfStyle w:val="100000000000"/>
        </w:trPr>
        <w:tc>
          <w:tcPr>
            <w:cnfStyle w:val="001000000000"/>
            <w:tcW w:w="1998" w:type="dxa"/>
          </w:tcPr>
          <w:p w:rsidR="007D1CDC" w:rsidRPr="007D1CDC" w:rsidRDefault="007D1CDC" w:rsidP="007D1CDC">
            <w:pPr>
              <w:jc w:val="center"/>
              <w:rPr>
                <w:rFonts w:ascii="Arial" w:hAnsi="Arial" w:cs="Arial"/>
              </w:rPr>
            </w:pPr>
            <w:r w:rsidRPr="007D1CDC">
              <w:rPr>
                <w:rFonts w:ascii="Arial" w:hAnsi="Arial" w:cs="Arial"/>
              </w:rPr>
              <w:t>Supplier</w:t>
            </w:r>
          </w:p>
        </w:tc>
        <w:tc>
          <w:tcPr>
            <w:tcW w:w="2409" w:type="dxa"/>
          </w:tcPr>
          <w:p w:rsidR="007D1CDC" w:rsidRPr="007D1CDC" w:rsidRDefault="007D1CDC" w:rsidP="007D1CDC">
            <w:pPr>
              <w:jc w:val="center"/>
              <w:cnfStyle w:val="100000000000"/>
              <w:rPr>
                <w:rFonts w:ascii="Arial" w:hAnsi="Arial" w:cs="Arial"/>
              </w:rPr>
            </w:pPr>
            <w:r w:rsidRPr="007D1CDC">
              <w:rPr>
                <w:rFonts w:ascii="Arial" w:hAnsi="Arial" w:cs="Arial"/>
              </w:rPr>
              <w:t>Grade</w:t>
            </w:r>
          </w:p>
        </w:tc>
        <w:tc>
          <w:tcPr>
            <w:tcW w:w="2478" w:type="dxa"/>
          </w:tcPr>
          <w:p w:rsidR="007D1CDC" w:rsidRPr="007D1CDC" w:rsidRDefault="007D1CDC" w:rsidP="007D1CDC">
            <w:pPr>
              <w:jc w:val="center"/>
              <w:cnfStyle w:val="100000000000"/>
              <w:rPr>
                <w:rFonts w:ascii="Arial" w:hAnsi="Arial" w:cs="Arial"/>
              </w:rPr>
            </w:pPr>
            <w:r w:rsidRPr="007D1CDC">
              <w:rPr>
                <w:rFonts w:ascii="Arial" w:hAnsi="Arial" w:cs="Arial"/>
              </w:rPr>
              <w:t>Shadow Price</w:t>
            </w:r>
          </w:p>
        </w:tc>
        <w:tc>
          <w:tcPr>
            <w:tcW w:w="2673" w:type="dxa"/>
          </w:tcPr>
          <w:p w:rsidR="007D1CDC" w:rsidRPr="007D1CDC" w:rsidRDefault="007D1CDC" w:rsidP="007D1CDC">
            <w:pPr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 Coefficient</w:t>
            </w:r>
          </w:p>
        </w:tc>
      </w:tr>
      <w:tr w:rsidR="007D1CDC">
        <w:trPr>
          <w:cnfStyle w:val="000000100000"/>
        </w:trPr>
        <w:tc>
          <w:tcPr>
            <w:cnfStyle w:val="001000000000"/>
            <w:tcW w:w="1998" w:type="dxa"/>
          </w:tcPr>
          <w:p w:rsidR="007D1CDC" w:rsidRPr="007D1CDC" w:rsidRDefault="007D1CDC" w:rsidP="007D1CDC">
            <w:pPr>
              <w:jc w:val="center"/>
              <w:rPr>
                <w:rFonts w:ascii="Arial" w:hAnsi="Arial" w:cs="Arial"/>
              </w:rPr>
            </w:pPr>
            <w:r w:rsidRPr="007D1CDC">
              <w:rPr>
                <w:rFonts w:ascii="Arial" w:hAnsi="Arial" w:cs="Arial"/>
              </w:rPr>
              <w:t>S1</w:t>
            </w:r>
          </w:p>
        </w:tc>
        <w:tc>
          <w:tcPr>
            <w:tcW w:w="2409" w:type="dxa"/>
          </w:tcPr>
          <w:p w:rsidR="007D1CDC" w:rsidRPr="007D1CDC" w:rsidRDefault="007D1CDC" w:rsidP="007D1CD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8" w:type="dxa"/>
          </w:tcPr>
          <w:p w:rsidR="007D1CDC" w:rsidRPr="007D1CDC" w:rsidRDefault="007D1CDC" w:rsidP="007D1CD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-639</w:t>
            </w:r>
          </w:p>
        </w:tc>
        <w:tc>
          <w:tcPr>
            <w:tcW w:w="2673" w:type="dxa"/>
          </w:tcPr>
          <w:p w:rsidR="007D1CDC" w:rsidRDefault="007D1CDC" w:rsidP="007D1CD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$74.69</w:t>
            </w:r>
          </w:p>
        </w:tc>
      </w:tr>
      <w:tr w:rsidR="007D1CDC">
        <w:tc>
          <w:tcPr>
            <w:cnfStyle w:val="001000000000"/>
            <w:tcW w:w="1998" w:type="dxa"/>
          </w:tcPr>
          <w:p w:rsidR="007D1CDC" w:rsidRPr="007D1CDC" w:rsidRDefault="007D1CDC" w:rsidP="007D1CDC">
            <w:pPr>
              <w:jc w:val="center"/>
              <w:rPr>
                <w:rFonts w:ascii="Arial" w:hAnsi="Arial" w:cs="Arial"/>
              </w:rPr>
            </w:pPr>
            <w:r w:rsidRPr="007D1C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</w:tcPr>
          <w:p w:rsidR="007D1CDC" w:rsidRPr="007D1CDC" w:rsidRDefault="007D1CDC" w:rsidP="007D1CD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8" w:type="dxa"/>
          </w:tcPr>
          <w:p w:rsidR="007D1CDC" w:rsidRPr="007D1CDC" w:rsidRDefault="007D1CDC" w:rsidP="007D1CD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-455</w:t>
            </w:r>
          </w:p>
        </w:tc>
        <w:tc>
          <w:tcPr>
            <w:tcW w:w="2673" w:type="dxa"/>
          </w:tcPr>
          <w:p w:rsidR="007D1CDC" w:rsidRDefault="007D1CDC" w:rsidP="007D1CDC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$47.03</w:t>
            </w:r>
          </w:p>
        </w:tc>
      </w:tr>
      <w:tr w:rsidR="007D1CDC">
        <w:trPr>
          <w:cnfStyle w:val="000000100000"/>
        </w:trPr>
        <w:tc>
          <w:tcPr>
            <w:cnfStyle w:val="001000000000"/>
            <w:tcW w:w="1998" w:type="dxa"/>
          </w:tcPr>
          <w:p w:rsidR="007D1CDC" w:rsidRPr="007D1CDC" w:rsidRDefault="007D1CDC" w:rsidP="007D1CDC">
            <w:pPr>
              <w:jc w:val="center"/>
              <w:rPr>
                <w:rFonts w:ascii="Arial" w:hAnsi="Arial" w:cs="Arial"/>
              </w:rPr>
            </w:pPr>
            <w:r w:rsidRPr="007D1C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7D1CDC" w:rsidRPr="007D1CDC" w:rsidRDefault="007D1CDC" w:rsidP="007D1CD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8" w:type="dxa"/>
          </w:tcPr>
          <w:p w:rsidR="007D1CDC" w:rsidRPr="007D1CDC" w:rsidRDefault="007D1CDC" w:rsidP="007D1CD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-318</w:t>
            </w:r>
          </w:p>
        </w:tc>
        <w:tc>
          <w:tcPr>
            <w:tcW w:w="2673" w:type="dxa"/>
          </w:tcPr>
          <w:p w:rsidR="007D1CDC" w:rsidRDefault="007D1CDC" w:rsidP="007D1CDC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$43.65</w:t>
            </w:r>
          </w:p>
        </w:tc>
      </w:tr>
    </w:tbl>
    <w:p w:rsidR="008563E3" w:rsidRDefault="008563E3" w:rsidP="002F6325">
      <w:pPr>
        <w:jc w:val="both"/>
        <w:rPr>
          <w:rFonts w:ascii="Arial" w:hAnsi="Arial" w:cs="Arial"/>
        </w:rPr>
      </w:pPr>
    </w:p>
    <w:p w:rsidR="007D1CDC" w:rsidRDefault="007D1CDC" w:rsidP="002F6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After additional analysis and applying the additional conditions for the quantity discounts, Supplier 2 was the low cost leader if Calcutta Container Company decides to participate in the program.  The table below displays the results of the analysis.</w:t>
      </w:r>
    </w:p>
    <w:tbl>
      <w:tblPr>
        <w:tblW w:w="5775" w:type="dxa"/>
        <w:tblInd w:w="93" w:type="dxa"/>
        <w:tblLook w:val="04A0"/>
      </w:tblPr>
      <w:tblGrid>
        <w:gridCol w:w="960"/>
        <w:gridCol w:w="860"/>
        <w:gridCol w:w="861"/>
        <w:gridCol w:w="860"/>
        <w:gridCol w:w="860"/>
        <w:gridCol w:w="1374"/>
      </w:tblGrid>
      <w:tr w:rsidR="007D1CDC" w:rsidRPr="007D1CD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Tons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Rebate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MIN COST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1CDC" w:rsidRPr="007D1CD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S1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2.25%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635,605.54 </w:t>
            </w:r>
          </w:p>
        </w:tc>
      </w:tr>
      <w:tr w:rsidR="007D1CDC" w:rsidRPr="007D1CD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S2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3.00%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631,279.45 </w:t>
            </w:r>
          </w:p>
        </w:tc>
      </w:tr>
      <w:tr w:rsidR="007D1CDC" w:rsidRPr="007D1CD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S3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2.50%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631,279.45 </w:t>
            </w:r>
          </w:p>
        </w:tc>
      </w:tr>
    </w:tbl>
    <w:p w:rsidR="002F6325" w:rsidRPr="007D1CDC" w:rsidRDefault="007D1CDC" w:rsidP="002F6325">
      <w:pPr>
        <w:jc w:val="both"/>
        <w:rPr>
          <w:rFonts w:ascii="Arial" w:hAnsi="Arial" w:cs="Arial"/>
        </w:rPr>
      </w:pPr>
      <w:r w:rsidRPr="007D1CDC">
        <w:rPr>
          <w:rFonts w:ascii="Arial" w:hAnsi="Arial" w:cs="Arial"/>
        </w:rPr>
        <w:t>The following marginal cost table was constructed to display the potential impact to the objective function subject to additional demand less than or equal to the allowable increase quan</w:t>
      </w:r>
      <w:r>
        <w:rPr>
          <w:rFonts w:ascii="Arial" w:hAnsi="Arial" w:cs="Arial"/>
        </w:rPr>
        <w:t>tit</w:t>
      </w:r>
      <w:r w:rsidRPr="007D1CDC">
        <w:rPr>
          <w:rFonts w:ascii="Arial" w:hAnsi="Arial" w:cs="Arial"/>
        </w:rPr>
        <w:t>y.</w:t>
      </w:r>
    </w:p>
    <w:tbl>
      <w:tblPr>
        <w:tblW w:w="8115" w:type="dxa"/>
        <w:tblInd w:w="93" w:type="dxa"/>
        <w:tblLook w:val="04A0"/>
      </w:tblPr>
      <w:tblGrid>
        <w:gridCol w:w="1240"/>
        <w:gridCol w:w="761"/>
        <w:gridCol w:w="1254"/>
        <w:gridCol w:w="1226"/>
        <w:gridCol w:w="1474"/>
        <w:gridCol w:w="2160"/>
      </w:tblGrid>
      <w:tr w:rsidR="007D1CDC" w:rsidRPr="007D1CDC" w:rsidTr="00A67AF1">
        <w:trPr>
          <w:trHeight w:val="255"/>
        </w:trPr>
        <w:tc>
          <w:tcPr>
            <w:tcW w:w="124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Marginal </w:t>
            </w:r>
          </w:p>
        </w:tc>
        <w:tc>
          <w:tcPr>
            <w:tcW w:w="122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Allowable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Maximum  </w:t>
            </w:r>
          </w:p>
        </w:tc>
        <w:tc>
          <w:tcPr>
            <w:tcW w:w="21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Objective Function </w:t>
            </w:r>
          </w:p>
        </w:tc>
      </w:tr>
      <w:tr w:rsidR="007D1CDC" w:rsidRPr="007D1CDC" w:rsidTr="00A67AF1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Plant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Cost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Increase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Impact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Impact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1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G1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361.70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50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18,085.00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656,844.63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1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G2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391.92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30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11,757.75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650,517.37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1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G3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424.65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30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12,739.50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651,499.13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1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G4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481.65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25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12,041.25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650,800.87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1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G5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521.02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20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10,420.50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649,180.12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1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G6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705.03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45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31,726.13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670,485.75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2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G1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344.82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50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17,241.25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656,000.87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2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G2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383.82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30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11,514.75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650,274.37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2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G3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450.08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30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13,502.25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652,261.88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2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G4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493.83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20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9,876.50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648,636.13 </w:t>
            </w:r>
          </w:p>
        </w:tc>
      </w:tr>
      <w:tr w:rsidR="007D1CDC" w:rsidRPr="007D1CDC" w:rsidTr="00A67AF1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2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G5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512.92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20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10,258.50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649,018.12 </w:t>
            </w:r>
          </w:p>
        </w:tc>
      </w:tr>
      <w:tr w:rsidR="007D1CDC" w:rsidRPr="007D1CDC" w:rsidTr="00A67AF1">
        <w:trPr>
          <w:trHeight w:val="270"/>
        </w:trPr>
        <w:tc>
          <w:tcPr>
            <w:tcW w:w="12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Plant 2</w:t>
            </w:r>
          </w:p>
        </w:tc>
        <w:tc>
          <w:tcPr>
            <w:tcW w:w="761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>G6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000000" w:fill="FFFF0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696.92 </w:t>
            </w:r>
          </w:p>
        </w:tc>
        <w:tc>
          <w:tcPr>
            <w:tcW w:w="1226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               45 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31,361.62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</w:tcPr>
          <w:p w:rsidR="007D1CDC" w:rsidRPr="007D1CDC" w:rsidRDefault="007D1CDC" w:rsidP="007D1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CDC">
              <w:rPr>
                <w:rFonts w:ascii="Arial" w:eastAsia="Times New Roman" w:hAnsi="Arial" w:cs="Arial"/>
                <w:sz w:val="20"/>
                <w:szCs w:val="20"/>
              </w:rPr>
              <w:t xml:space="preserve"> $             670,121.25 </w:t>
            </w:r>
          </w:p>
        </w:tc>
      </w:tr>
    </w:tbl>
    <w:p w:rsidR="00153439" w:rsidRPr="00482173" w:rsidRDefault="00153439">
      <w:pPr>
        <w:rPr>
          <w:rFonts w:ascii="Arial" w:hAnsi="Arial" w:cs="Arial"/>
        </w:rPr>
      </w:pPr>
    </w:p>
    <w:p w:rsidR="00C6043C" w:rsidRDefault="00C6043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7D1CDC" w:rsidRDefault="007D1CDC">
      <w:pPr>
        <w:rPr>
          <w:rFonts w:ascii="Arial" w:hAnsi="Arial" w:cs="Arial"/>
        </w:rPr>
      </w:pPr>
    </w:p>
    <w:p w:rsidR="00C6043C" w:rsidRPr="001D12EC" w:rsidRDefault="001D12EC" w:rsidP="001D12EC">
      <w:pPr>
        <w:jc w:val="center"/>
        <w:rPr>
          <w:rFonts w:ascii="Arial" w:hAnsi="Arial" w:cs="Arial"/>
          <w:b/>
        </w:rPr>
      </w:pPr>
      <w:r w:rsidRPr="001D12EC">
        <w:rPr>
          <w:rFonts w:ascii="Arial" w:hAnsi="Arial" w:cs="Arial"/>
          <w:b/>
        </w:rPr>
        <w:t>Exhibit A: Data Tables</w:t>
      </w:r>
    </w:p>
    <w:p w:rsidR="002378BE" w:rsidRPr="001D12EC" w:rsidRDefault="001D12EC">
      <w:pPr>
        <w:rPr>
          <w:rFonts w:ascii="Arial" w:hAnsi="Arial" w:cs="Arial"/>
          <w:b/>
          <w:i/>
        </w:rPr>
      </w:pPr>
      <w:r w:rsidRPr="001D12EC">
        <w:rPr>
          <w:rFonts w:ascii="Arial" w:hAnsi="Arial" w:cs="Arial"/>
          <w:b/>
          <w:i/>
        </w:rPr>
        <w:t>D</w:t>
      </w:r>
      <w:r w:rsidR="002378BE" w:rsidRPr="001D12EC">
        <w:rPr>
          <w:rFonts w:ascii="Arial" w:hAnsi="Arial" w:cs="Arial"/>
          <w:b/>
          <w:i/>
        </w:rPr>
        <w:t xml:space="preserve">emand </w:t>
      </w:r>
      <w:r w:rsidRPr="001D12EC">
        <w:rPr>
          <w:rFonts w:ascii="Arial" w:hAnsi="Arial" w:cs="Arial"/>
          <w:b/>
          <w:i/>
        </w:rPr>
        <w:t>F</w:t>
      </w:r>
      <w:r w:rsidR="002378BE" w:rsidRPr="001D12EC">
        <w:rPr>
          <w:rFonts w:ascii="Arial" w:hAnsi="Arial" w:cs="Arial"/>
          <w:b/>
          <w:i/>
        </w:rPr>
        <w:t>orecast</w:t>
      </w:r>
      <w:r w:rsidRPr="001D12EC">
        <w:rPr>
          <w:rFonts w:ascii="Arial" w:hAnsi="Arial" w:cs="Arial"/>
          <w:b/>
          <w:i/>
        </w:rPr>
        <w:t xml:space="preserve"> T</w:t>
      </w:r>
      <w:r w:rsidR="002378BE" w:rsidRPr="001D12EC">
        <w:rPr>
          <w:rFonts w:ascii="Arial" w:hAnsi="Arial" w:cs="Arial"/>
          <w:b/>
          <w:i/>
        </w:rPr>
        <w:t xml:space="preserve">able </w:t>
      </w:r>
    </w:p>
    <w:tbl>
      <w:tblPr>
        <w:tblW w:w="6766" w:type="dxa"/>
        <w:tblInd w:w="93" w:type="dxa"/>
        <w:tblLook w:val="04A0"/>
      </w:tblPr>
      <w:tblGrid>
        <w:gridCol w:w="1084"/>
        <w:gridCol w:w="947"/>
        <w:gridCol w:w="947"/>
        <w:gridCol w:w="947"/>
        <w:gridCol w:w="947"/>
        <w:gridCol w:w="947"/>
        <w:gridCol w:w="947"/>
      </w:tblGrid>
      <w:tr w:rsidR="002378BE" w:rsidRPr="00482173">
        <w:trPr>
          <w:trHeight w:val="5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 xml:space="preserve">Demand (tons)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G6</w:t>
            </w:r>
          </w:p>
        </w:tc>
      </w:tr>
      <w:tr w:rsidR="002378BE" w:rsidRPr="00482173">
        <w:trPr>
          <w:trHeight w:val="5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 xml:space="preserve">Demand at </w:t>
            </w:r>
            <w:r w:rsidRPr="00482173">
              <w:rPr>
                <w:rFonts w:ascii="Arial" w:eastAsia="Times New Roman" w:hAnsi="Arial" w:cs="Arial"/>
                <w:b/>
                <w:bCs/>
              </w:rPr>
              <w:t>P1</w:t>
            </w:r>
            <w:r w:rsidRPr="0048217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80</w:t>
            </w:r>
          </w:p>
        </w:tc>
      </w:tr>
      <w:tr w:rsidR="002378BE" w:rsidRPr="00482173">
        <w:trPr>
          <w:trHeight w:val="52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 xml:space="preserve">Demand at </w:t>
            </w:r>
            <w:r w:rsidRPr="00482173">
              <w:rPr>
                <w:rFonts w:ascii="Arial" w:eastAsia="Times New Roman" w:hAnsi="Arial" w:cs="Arial"/>
                <w:b/>
                <w:bCs/>
              </w:rPr>
              <w:t xml:space="preserve">P2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100</w:t>
            </w:r>
          </w:p>
        </w:tc>
      </w:tr>
    </w:tbl>
    <w:p w:rsidR="002378BE" w:rsidRPr="00482173" w:rsidRDefault="002378BE">
      <w:pPr>
        <w:rPr>
          <w:rFonts w:ascii="Arial" w:hAnsi="Arial" w:cs="Arial"/>
        </w:rPr>
      </w:pPr>
    </w:p>
    <w:p w:rsidR="001D12EC" w:rsidRPr="001D12EC" w:rsidRDefault="001D12EC">
      <w:pPr>
        <w:rPr>
          <w:rFonts w:ascii="Arial" w:hAnsi="Arial" w:cs="Arial"/>
          <w:b/>
          <w:i/>
        </w:rPr>
      </w:pPr>
      <w:r w:rsidRPr="001D12EC">
        <w:rPr>
          <w:rFonts w:ascii="Arial" w:hAnsi="Arial" w:cs="Arial"/>
          <w:b/>
          <w:i/>
        </w:rPr>
        <w:t>Available Supply</w:t>
      </w:r>
    </w:p>
    <w:tbl>
      <w:tblPr>
        <w:tblW w:w="7382" w:type="dxa"/>
        <w:tblInd w:w="93" w:type="dxa"/>
        <w:tblLook w:val="04A0"/>
      </w:tblPr>
      <w:tblGrid>
        <w:gridCol w:w="1622"/>
        <w:gridCol w:w="960"/>
        <w:gridCol w:w="960"/>
        <w:gridCol w:w="960"/>
        <w:gridCol w:w="960"/>
        <w:gridCol w:w="960"/>
        <w:gridCol w:w="960"/>
      </w:tblGrid>
      <w:tr w:rsidR="002378BE" w:rsidRPr="00482173">
        <w:trPr>
          <w:trHeight w:val="52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Supply(Tons)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G6</w:t>
            </w:r>
          </w:p>
        </w:tc>
      </w:tr>
      <w:tr w:rsidR="002378BE" w:rsidRPr="00482173">
        <w:trPr>
          <w:trHeight w:val="25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 </w:t>
            </w:r>
          </w:p>
        </w:tc>
      </w:tr>
      <w:tr w:rsidR="002378BE" w:rsidRPr="00482173">
        <w:trPr>
          <w:trHeight w:val="25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155</w:t>
            </w:r>
          </w:p>
        </w:tc>
      </w:tr>
      <w:tr w:rsidR="002378BE" w:rsidRPr="00482173">
        <w:trPr>
          <w:trHeight w:val="27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70</w:t>
            </w:r>
          </w:p>
        </w:tc>
      </w:tr>
    </w:tbl>
    <w:p w:rsidR="002378BE" w:rsidRPr="00482173" w:rsidRDefault="002378BE">
      <w:pPr>
        <w:rPr>
          <w:rFonts w:ascii="Arial" w:hAnsi="Arial" w:cs="Arial"/>
        </w:rPr>
      </w:pPr>
    </w:p>
    <w:p w:rsidR="002378BE" w:rsidRPr="001D12EC" w:rsidRDefault="001D12EC">
      <w:pPr>
        <w:rPr>
          <w:rFonts w:ascii="Arial" w:hAnsi="Arial" w:cs="Arial"/>
          <w:b/>
          <w:i/>
        </w:rPr>
      </w:pPr>
      <w:r w:rsidRPr="001D12EC">
        <w:rPr>
          <w:rFonts w:ascii="Arial" w:hAnsi="Arial" w:cs="Arial"/>
          <w:b/>
          <w:i/>
        </w:rPr>
        <w:t>Paper Cost</w:t>
      </w:r>
      <w:r>
        <w:rPr>
          <w:rFonts w:ascii="Arial" w:hAnsi="Arial" w:cs="Arial"/>
          <w:b/>
          <w:i/>
        </w:rPr>
        <w:t xml:space="preserve"> by Grade, Supplier</w:t>
      </w:r>
    </w:p>
    <w:tbl>
      <w:tblPr>
        <w:tblW w:w="67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378BE" w:rsidRPr="00482173">
        <w:trPr>
          <w:trHeight w:val="2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 xml:space="preserve">Prices in $/ton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G6</w:t>
            </w:r>
          </w:p>
        </w:tc>
      </w:tr>
      <w:tr w:rsidR="002378BE" w:rsidRPr="0048217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 </w:t>
            </w:r>
          </w:p>
        </w:tc>
      </w:tr>
      <w:tr w:rsidR="002378BE" w:rsidRPr="0048217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658</w:t>
            </w:r>
          </w:p>
        </w:tc>
      </w:tr>
      <w:tr w:rsidR="002378BE" w:rsidRPr="0048217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643</w:t>
            </w:r>
          </w:p>
        </w:tc>
      </w:tr>
    </w:tbl>
    <w:p w:rsidR="001D12EC" w:rsidRDefault="001D12EC">
      <w:pPr>
        <w:rPr>
          <w:rFonts w:ascii="Arial" w:hAnsi="Arial" w:cs="Arial"/>
        </w:rPr>
      </w:pPr>
    </w:p>
    <w:p w:rsidR="001D12EC" w:rsidRPr="001D12EC" w:rsidRDefault="001D12EC">
      <w:pPr>
        <w:rPr>
          <w:rFonts w:ascii="Arial" w:hAnsi="Arial" w:cs="Arial"/>
          <w:b/>
          <w:i/>
        </w:rPr>
      </w:pPr>
      <w:r w:rsidRPr="001D12EC">
        <w:rPr>
          <w:rFonts w:ascii="Arial" w:hAnsi="Arial" w:cs="Arial"/>
          <w:b/>
          <w:i/>
        </w:rPr>
        <w:t>Shipping Cost by Supplier, Plant</w:t>
      </w:r>
    </w:p>
    <w:tbl>
      <w:tblPr>
        <w:tblW w:w="6720" w:type="dxa"/>
        <w:tblInd w:w="93" w:type="dxa"/>
        <w:tblLook w:val="04A0"/>
      </w:tblPr>
      <w:tblGrid>
        <w:gridCol w:w="2526"/>
        <w:gridCol w:w="2097"/>
        <w:gridCol w:w="2097"/>
      </w:tblGrid>
      <w:tr w:rsidR="001D12EC" w:rsidRPr="00482173">
        <w:trPr>
          <w:trHeight w:val="525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2EC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Shipping</w:t>
            </w:r>
          </w:p>
          <w:p w:rsidR="001D12EC" w:rsidRPr="00482173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$/Ton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P1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P2</w:t>
            </w:r>
          </w:p>
        </w:tc>
      </w:tr>
      <w:tr w:rsidR="001D12EC" w:rsidRPr="00482173">
        <w:trPr>
          <w:trHeight w:val="255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S1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$74.70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$57.83</w:t>
            </w:r>
          </w:p>
        </w:tc>
      </w:tr>
      <w:tr w:rsidR="001D12EC" w:rsidRPr="00482173">
        <w:trPr>
          <w:trHeight w:val="255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S2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$47.03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$38.93</w:t>
            </w:r>
          </w:p>
        </w:tc>
      </w:tr>
      <w:tr w:rsidR="001D12EC" w:rsidRPr="00482173">
        <w:trPr>
          <w:trHeight w:val="27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S3</w:t>
            </w:r>
          </w:p>
        </w:tc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$43.65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2EC" w:rsidRPr="00482173" w:rsidRDefault="001D12EC" w:rsidP="00162C8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$69.08</w:t>
            </w:r>
          </w:p>
        </w:tc>
      </w:tr>
    </w:tbl>
    <w:p w:rsidR="001D12EC" w:rsidRDefault="001D12EC">
      <w:pPr>
        <w:rPr>
          <w:rFonts w:ascii="Arial" w:hAnsi="Arial" w:cs="Arial"/>
        </w:rPr>
      </w:pPr>
    </w:p>
    <w:tbl>
      <w:tblPr>
        <w:tblW w:w="4127" w:type="dxa"/>
        <w:tblInd w:w="93" w:type="dxa"/>
        <w:tblLook w:val="04A0"/>
      </w:tblPr>
      <w:tblGrid>
        <w:gridCol w:w="1392"/>
        <w:gridCol w:w="1536"/>
        <w:gridCol w:w="1199"/>
      </w:tblGrid>
      <w:tr w:rsidR="002378BE" w:rsidRPr="00482173">
        <w:trPr>
          <w:trHeight w:val="55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Discount for each supplier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2EC" w:rsidRDefault="001D12EC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D12EC" w:rsidRDefault="001D12EC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Threshold (tons)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2EC" w:rsidRDefault="001D12EC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Rebate (% of $)</w:t>
            </w:r>
          </w:p>
        </w:tc>
      </w:tr>
      <w:tr w:rsidR="002378BE" w:rsidRPr="00482173">
        <w:trPr>
          <w:trHeight w:val="26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450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2.25%</w:t>
            </w:r>
          </w:p>
        </w:tc>
      </w:tr>
      <w:tr w:rsidR="002378BE" w:rsidRPr="00482173">
        <w:trPr>
          <w:trHeight w:val="268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3%</w:t>
            </w:r>
          </w:p>
        </w:tc>
      </w:tr>
      <w:tr w:rsidR="002378BE" w:rsidRPr="00482173">
        <w:trPr>
          <w:trHeight w:val="283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2173">
              <w:rPr>
                <w:rFonts w:ascii="Arial" w:eastAsia="Times New Roman" w:hAnsi="Arial" w:cs="Arial"/>
                <w:b/>
                <w:bCs/>
              </w:rPr>
              <w:t>S3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78BE" w:rsidRPr="00482173" w:rsidRDefault="002378BE" w:rsidP="002378B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2173">
              <w:rPr>
                <w:rFonts w:ascii="Arial" w:eastAsia="Times New Roman" w:hAnsi="Arial" w:cs="Arial"/>
              </w:rPr>
              <w:t>2.50%</w:t>
            </w:r>
          </w:p>
        </w:tc>
      </w:tr>
    </w:tbl>
    <w:p w:rsidR="002378BE" w:rsidRPr="00482173" w:rsidRDefault="002378BE">
      <w:pPr>
        <w:rPr>
          <w:rFonts w:ascii="Arial" w:hAnsi="Arial" w:cs="Arial"/>
        </w:rPr>
      </w:pPr>
    </w:p>
    <w:p w:rsidR="007541BA" w:rsidRPr="00482173" w:rsidRDefault="001D12EC" w:rsidP="007541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Exhibit B: </w:t>
      </w:r>
      <w:r w:rsidR="007541BA" w:rsidRPr="00482173">
        <w:rPr>
          <w:rFonts w:ascii="Arial" w:hAnsi="Arial" w:cs="Arial"/>
          <w:b/>
        </w:rPr>
        <w:t>Linear Programming Formulation Table</w:t>
      </w:r>
    </w:p>
    <w:tbl>
      <w:tblPr>
        <w:tblStyle w:val="MediumList2-Accent4"/>
        <w:tblW w:w="11792" w:type="dxa"/>
        <w:tblInd w:w="-1062" w:type="dxa"/>
        <w:tblLayout w:type="fixed"/>
        <w:tblLook w:val="04A0"/>
      </w:tblPr>
      <w:tblGrid>
        <w:gridCol w:w="1530"/>
        <w:gridCol w:w="1085"/>
        <w:gridCol w:w="1675"/>
        <w:gridCol w:w="2073"/>
        <w:gridCol w:w="1445"/>
        <w:gridCol w:w="3984"/>
      </w:tblGrid>
      <w:tr w:rsidR="00F64ABE" w:rsidRPr="00F64ABE">
        <w:trPr>
          <w:cnfStyle w:val="100000000000"/>
        </w:trPr>
        <w:tc>
          <w:tcPr>
            <w:cnfStyle w:val="001000000100"/>
            <w:tcW w:w="1530" w:type="dxa"/>
          </w:tcPr>
          <w:p w:rsidR="00482173" w:rsidRPr="00F64ABE" w:rsidRDefault="00482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482173" w:rsidRPr="00F64ABE" w:rsidRDefault="00482173" w:rsidP="009B641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75" w:type="dxa"/>
          </w:tcPr>
          <w:p w:rsidR="00482173" w:rsidRPr="00F64ABE" w:rsidRDefault="00482173" w:rsidP="009B641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Qualitative Value</w:t>
            </w:r>
          </w:p>
        </w:tc>
        <w:tc>
          <w:tcPr>
            <w:tcW w:w="2073" w:type="dxa"/>
          </w:tcPr>
          <w:p w:rsidR="00482173" w:rsidRPr="00F64ABE" w:rsidRDefault="00482173" w:rsidP="009B641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1445" w:type="dxa"/>
          </w:tcPr>
          <w:p w:rsidR="00482173" w:rsidRPr="00F64ABE" w:rsidRDefault="009B641C" w:rsidP="009B641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Possible Values</w:t>
            </w:r>
          </w:p>
        </w:tc>
        <w:tc>
          <w:tcPr>
            <w:tcW w:w="3984" w:type="dxa"/>
          </w:tcPr>
          <w:p w:rsidR="00482173" w:rsidRPr="00F64ABE" w:rsidRDefault="00482173" w:rsidP="009B641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1C" w:rsidRPr="00F64ABE">
        <w:trPr>
          <w:cnfStyle w:val="000000100000"/>
        </w:trPr>
        <w:tc>
          <w:tcPr>
            <w:cnfStyle w:val="001000000000"/>
            <w:tcW w:w="1530" w:type="dxa"/>
            <w:vMerge w:val="restart"/>
            <w:tcBorders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Base Variable</w:t>
            </w:r>
          </w:p>
        </w:tc>
        <w:tc>
          <w:tcPr>
            <w:tcW w:w="1085" w:type="dxa"/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675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Paper grade</w:t>
            </w:r>
          </w:p>
        </w:tc>
        <w:tc>
          <w:tcPr>
            <w:tcW w:w="2073" w:type="dxa"/>
            <w:shd w:val="clear" w:color="auto" w:fill="auto"/>
          </w:tcPr>
          <w:p w:rsidR="00482173" w:rsidRPr="00F64ABE" w:rsidRDefault="00F64ABE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B641C" w:rsidRPr="00F64ABE">
              <w:rPr>
                <w:rFonts w:ascii="Arial" w:hAnsi="Arial" w:cs="Arial"/>
                <w:sz w:val="20"/>
                <w:szCs w:val="20"/>
              </w:rPr>
              <w:t>or:</w:t>
            </w:r>
          </w:p>
        </w:tc>
        <w:tc>
          <w:tcPr>
            <w:tcW w:w="1445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(1,2,3,4,5,6)</w:t>
            </w:r>
          </w:p>
        </w:tc>
        <w:tc>
          <w:tcPr>
            <w:tcW w:w="3984" w:type="dxa"/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BE" w:rsidRPr="00F64ABE"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675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Plant</w:t>
            </w:r>
          </w:p>
        </w:tc>
        <w:tc>
          <w:tcPr>
            <w:tcW w:w="2073" w:type="dxa"/>
            <w:shd w:val="clear" w:color="auto" w:fill="auto"/>
          </w:tcPr>
          <w:p w:rsidR="00482173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64ABE">
              <w:rPr>
                <w:rFonts w:ascii="Arial" w:hAnsi="Arial" w:cs="Arial"/>
                <w:sz w:val="20"/>
                <w:szCs w:val="20"/>
              </w:rPr>
              <w:t>or:</w:t>
            </w:r>
          </w:p>
        </w:tc>
        <w:tc>
          <w:tcPr>
            <w:tcW w:w="1445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(1,2)</w:t>
            </w:r>
          </w:p>
        </w:tc>
        <w:tc>
          <w:tcPr>
            <w:tcW w:w="3984" w:type="dxa"/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1C" w:rsidRPr="00F64ABE">
        <w:trPr>
          <w:cnfStyle w:val="000000100000"/>
        </w:trPr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7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Supply</w:t>
            </w:r>
          </w:p>
        </w:tc>
        <w:tc>
          <w:tcPr>
            <w:tcW w:w="2073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F64ABE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64ABE">
              <w:rPr>
                <w:rFonts w:ascii="Arial" w:hAnsi="Arial" w:cs="Arial"/>
                <w:sz w:val="20"/>
                <w:szCs w:val="20"/>
              </w:rPr>
              <w:t>or:</w:t>
            </w:r>
          </w:p>
        </w:tc>
        <w:tc>
          <w:tcPr>
            <w:tcW w:w="144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(1,2,3)</w:t>
            </w:r>
          </w:p>
        </w:tc>
        <w:tc>
          <w:tcPr>
            <w:tcW w:w="3984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BE" w:rsidRPr="00F64ABE">
        <w:tc>
          <w:tcPr>
            <w:cnfStyle w:val="001000000000"/>
            <w:tcW w:w="1530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Transportation Coefficients</w:t>
            </w:r>
          </w:p>
        </w:tc>
        <w:tc>
          <w:tcPr>
            <w:tcW w:w="1085" w:type="dxa"/>
            <w:tcBorders>
              <w:top w:val="single" w:sz="4" w:space="0" w:color="8064A2" w:themeColor="accent4"/>
            </w:tcBorders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75" w:type="dxa"/>
            <w:tcBorders>
              <w:top w:val="single" w:sz="4" w:space="0" w:color="8064A2" w:themeColor="accent4"/>
            </w:tcBorders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Shipping</w:t>
            </w:r>
          </w:p>
        </w:tc>
        <w:tc>
          <w:tcPr>
            <w:tcW w:w="2073" w:type="dxa"/>
            <w:tcBorders>
              <w:top w:val="single" w:sz="4" w:space="0" w:color="8064A2" w:themeColor="accent4"/>
            </w:tcBorders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</w:t>
            </w:r>
            <w:r w:rsidR="00482173" w:rsidRPr="00F64ABE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</w:p>
        </w:tc>
        <w:tc>
          <w:tcPr>
            <w:tcW w:w="1445" w:type="dxa"/>
            <w:tcBorders>
              <w:top w:val="single" w:sz="4" w:space="0" w:color="8064A2" w:themeColor="accent4"/>
            </w:tcBorders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8064A2" w:themeColor="accent4"/>
            </w:tcBorders>
            <w:shd w:val="clear" w:color="auto" w:fill="auto"/>
          </w:tcPr>
          <w:p w:rsidR="00482173" w:rsidRPr="00F64ABE" w:rsidRDefault="009B641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Shipping cost $/ton from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64ABE">
              <w:rPr>
                <w:rFonts w:ascii="Arial" w:hAnsi="Arial" w:cs="Arial"/>
                <w:sz w:val="20"/>
                <w:szCs w:val="20"/>
              </w:rPr>
              <w:t xml:space="preserve"> supplier to j plant</w:t>
            </w:r>
          </w:p>
        </w:tc>
      </w:tr>
      <w:tr w:rsidR="00F64ABE" w:rsidRPr="00F64ABE">
        <w:trPr>
          <w:cnfStyle w:val="000000100000"/>
        </w:trPr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75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073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ijk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482173" w:rsidRPr="00F64ABE" w:rsidRDefault="009B641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Tons of grade k paper supplied by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64ABE">
              <w:rPr>
                <w:rFonts w:ascii="Arial" w:hAnsi="Arial" w:cs="Arial"/>
                <w:sz w:val="20"/>
                <w:szCs w:val="20"/>
              </w:rPr>
              <w:t xml:space="preserve"> supplier for plant j</w:t>
            </w:r>
          </w:p>
        </w:tc>
      </w:tr>
      <w:tr w:rsidR="009B641C" w:rsidRPr="00F64ABE"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xij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x1k+x2k</w:t>
            </w:r>
          </w:p>
        </w:tc>
        <w:tc>
          <w:tcPr>
            <w:tcW w:w="1445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BE" w:rsidRPr="00F64ABE">
        <w:trPr>
          <w:cnfStyle w:val="000000100000"/>
        </w:trPr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xik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xij1+xij2+…xij6</w:t>
            </w:r>
          </w:p>
        </w:tc>
        <w:tc>
          <w:tcPr>
            <w:tcW w:w="1445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ABE" w:rsidRPr="00F64ABE"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675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Paper cost</w:t>
            </w:r>
          </w:p>
        </w:tc>
        <w:tc>
          <w:tcPr>
            <w:tcW w:w="2073" w:type="dxa"/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:rsidR="00482173" w:rsidRPr="00F64ABE" w:rsidRDefault="00482173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482173" w:rsidRPr="00F64ABE" w:rsidRDefault="009B641C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$/ton paper cost for grade k from supplier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F64ABE" w:rsidRPr="00F64ABE">
        <w:trPr>
          <w:cnfStyle w:val="000000100000"/>
        </w:trPr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</w:tcBorders>
          </w:tcPr>
          <w:p w:rsidR="00482173" w:rsidRPr="00F64ABE" w:rsidRDefault="00482173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7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Paper supply</w:t>
            </w:r>
          </w:p>
        </w:tc>
        <w:tc>
          <w:tcPr>
            <w:tcW w:w="2073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9B641C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  <w:tc>
          <w:tcPr>
            <w:tcW w:w="144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48217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482173" w:rsidRPr="00F64ABE" w:rsidRDefault="009B641C" w:rsidP="009B641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Tons of grad</w:t>
            </w:r>
            <w:r w:rsidR="00F64ABE" w:rsidRPr="00F64ABE">
              <w:rPr>
                <w:rFonts w:ascii="Arial" w:hAnsi="Arial" w:cs="Arial"/>
                <w:sz w:val="20"/>
                <w:szCs w:val="20"/>
              </w:rPr>
              <w:t>e</w:t>
            </w:r>
            <w:r w:rsidRPr="00F64ABE">
              <w:rPr>
                <w:rFonts w:ascii="Arial" w:hAnsi="Arial" w:cs="Arial"/>
                <w:sz w:val="20"/>
                <w:szCs w:val="20"/>
              </w:rPr>
              <w:t xml:space="preserve"> paper k @ supply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64ABE">
              <w:rPr>
                <w:rFonts w:ascii="Arial" w:hAnsi="Arial" w:cs="Arial"/>
                <w:sz w:val="20"/>
                <w:szCs w:val="20"/>
              </w:rPr>
              <w:t xml:space="preserve"> constraints</w:t>
            </w:r>
          </w:p>
        </w:tc>
      </w:tr>
      <w:tr w:rsidR="00F64ABE" w:rsidRPr="00F64ABE">
        <w:tc>
          <w:tcPr>
            <w:cnfStyle w:val="001000000000"/>
            <w:tcW w:w="1530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</w:tcBorders>
          </w:tcPr>
          <w:p w:rsidR="00F64ABE" w:rsidRPr="00F64ABE" w:rsidRDefault="00F64ABE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Constraints</w:t>
            </w:r>
          </w:p>
        </w:tc>
        <w:tc>
          <w:tcPr>
            <w:tcW w:w="1085" w:type="dxa"/>
            <w:tcBorders>
              <w:top w:val="single" w:sz="4" w:space="0" w:color="8064A2" w:themeColor="accent4"/>
            </w:tcBorders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8064A2" w:themeColor="accent4"/>
            </w:tcBorders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Supply</w:t>
            </w:r>
          </w:p>
        </w:tc>
        <w:tc>
          <w:tcPr>
            <w:tcW w:w="2073" w:type="dxa"/>
            <w:tcBorders>
              <w:top w:val="single" w:sz="4" w:space="0" w:color="8064A2" w:themeColor="accent4"/>
            </w:tcBorders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xik</w:t>
            </w:r>
            <w:proofErr w:type="spellEnd"/>
            <w:r w:rsidRPr="00F64ABE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sik</w:t>
            </w:r>
            <w:proofErr w:type="spellEnd"/>
          </w:p>
        </w:tc>
        <w:tc>
          <w:tcPr>
            <w:tcW w:w="1445" w:type="dxa"/>
            <w:tcBorders>
              <w:top w:val="single" w:sz="4" w:space="0" w:color="8064A2" w:themeColor="accent4"/>
            </w:tcBorders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8064A2" w:themeColor="accent4"/>
            </w:tcBorders>
            <w:shd w:val="clear" w:color="auto" w:fill="auto"/>
          </w:tcPr>
          <w:p w:rsidR="00F64ABE" w:rsidRPr="00F64ABE" w:rsidRDefault="00F64ABE" w:rsidP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i,k</w:t>
            </w:r>
            <w:proofErr w:type="spellEnd"/>
          </w:p>
        </w:tc>
      </w:tr>
      <w:tr w:rsidR="00F64ABE" w:rsidRPr="00F64ABE">
        <w:trPr>
          <w:cnfStyle w:val="000000100000"/>
        </w:trPr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F64ABE" w:rsidRPr="00F64ABE" w:rsidRDefault="00F64ABE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Demand</w:t>
            </w:r>
          </w:p>
        </w:tc>
        <w:tc>
          <w:tcPr>
            <w:tcW w:w="2073" w:type="dxa"/>
            <w:shd w:val="clear" w:color="auto" w:fill="auto"/>
          </w:tcPr>
          <w:p w:rsidR="00F64ABE" w:rsidRPr="00F64ABE" w:rsidRDefault="00F64ABE" w:rsidP="00F64AB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∑x1jk+ x2jk+ x3jk</w:t>
            </w:r>
          </w:p>
        </w:tc>
        <w:tc>
          <w:tcPr>
            <w:tcW w:w="1445" w:type="dxa"/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j,k</w:t>
            </w:r>
            <w:proofErr w:type="spellEnd"/>
          </w:p>
        </w:tc>
      </w:tr>
      <w:tr w:rsidR="00F64ABE" w:rsidRPr="00F64ABE"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F64ABE" w:rsidRPr="00F64ABE" w:rsidRDefault="00F64ABE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For j=1</w:t>
            </w:r>
          </w:p>
        </w:tc>
      </w:tr>
      <w:tr w:rsidR="00F64ABE" w:rsidRPr="00F64ABE">
        <w:trPr>
          <w:cnfStyle w:val="000000100000"/>
        </w:trPr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</w:tcBorders>
          </w:tcPr>
          <w:p w:rsidR="00F64ABE" w:rsidRPr="00F64ABE" w:rsidRDefault="00F64ABE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For j=2</w:t>
            </w:r>
          </w:p>
        </w:tc>
      </w:tr>
      <w:tr w:rsidR="00F64ABE" w:rsidRPr="00F64ABE">
        <w:tc>
          <w:tcPr>
            <w:cnfStyle w:val="001000000000"/>
            <w:tcW w:w="1530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</w:tcBorders>
          </w:tcPr>
          <w:p w:rsidR="00F64ABE" w:rsidRPr="00F64ABE" w:rsidRDefault="00F64ABE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073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xijk</w:t>
            </w:r>
            <w:proofErr w:type="spellEnd"/>
            <w:r w:rsidRPr="00F64ABE">
              <w:rPr>
                <w:rFonts w:ascii="Arial" w:hAnsi="Arial" w:cs="Arial"/>
                <w:sz w:val="20"/>
                <w:szCs w:val="20"/>
              </w:rPr>
              <w:t>&gt;0</w:t>
            </w:r>
          </w:p>
        </w:tc>
        <w:tc>
          <w:tcPr>
            <w:tcW w:w="1445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tcBorders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j,k</w:t>
            </w:r>
            <w:proofErr w:type="spellEnd"/>
          </w:p>
        </w:tc>
      </w:tr>
      <w:tr w:rsidR="00F64ABE" w:rsidRPr="00F64ABE">
        <w:trPr>
          <w:cnfStyle w:val="000000100000"/>
          <w:trHeight w:val="548"/>
        </w:trPr>
        <w:tc>
          <w:tcPr>
            <w:cnfStyle w:val="001000000000"/>
            <w:tcW w:w="153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</w:tcPr>
          <w:p w:rsidR="00F64ABE" w:rsidRPr="00F64ABE" w:rsidRDefault="00F64ABE" w:rsidP="0048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Objective Function</w:t>
            </w:r>
          </w:p>
        </w:tc>
        <w:tc>
          <w:tcPr>
            <w:tcW w:w="1085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 w:rsidP="009B641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</w:tcPr>
          <w:p w:rsidR="00F64ABE" w:rsidRPr="00F64ABE" w:rsidRDefault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  <w:vAlign w:val="bottom"/>
          </w:tcPr>
          <w:p w:rsidR="00F64ABE" w:rsidRPr="00F64ABE" w:rsidRDefault="00F64ABE" w:rsidP="00F64AB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>∑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pikxik</w:t>
            </w:r>
            <w:proofErr w:type="spellEnd"/>
            <w:r w:rsidRPr="00F64ABE">
              <w:rPr>
                <w:rFonts w:ascii="Arial" w:hAnsi="Arial" w:cs="Arial"/>
                <w:sz w:val="20"/>
                <w:szCs w:val="20"/>
              </w:rPr>
              <w:t>=∑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cijxij</w:t>
            </w:r>
            <w:proofErr w:type="spellEnd"/>
          </w:p>
        </w:tc>
        <w:tc>
          <w:tcPr>
            <w:tcW w:w="1445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  <w:vAlign w:val="bottom"/>
          </w:tcPr>
          <w:p w:rsidR="00F64ABE" w:rsidRPr="00F64ABE" w:rsidRDefault="00F64ABE" w:rsidP="00F64AB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  <w:vAlign w:val="bottom"/>
          </w:tcPr>
          <w:p w:rsidR="00F64ABE" w:rsidRPr="00F64ABE" w:rsidRDefault="00F64ABE" w:rsidP="00F64AB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F64ABE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proofErr w:type="spellStart"/>
            <w:r w:rsidRPr="00F64ABE">
              <w:rPr>
                <w:rFonts w:ascii="Arial" w:hAnsi="Arial" w:cs="Arial"/>
                <w:sz w:val="20"/>
                <w:szCs w:val="20"/>
              </w:rPr>
              <w:t>i,k</w:t>
            </w:r>
            <w:proofErr w:type="spellEnd"/>
          </w:p>
        </w:tc>
      </w:tr>
    </w:tbl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761108" w:rsidRDefault="00761108" w:rsidP="002F758E">
      <w:pPr>
        <w:jc w:val="center"/>
        <w:rPr>
          <w:rFonts w:ascii="Arial" w:hAnsi="Arial" w:cs="Arial"/>
        </w:rPr>
      </w:pPr>
    </w:p>
    <w:p w:rsidR="002378BE" w:rsidRPr="001D12EC" w:rsidRDefault="002F758E" w:rsidP="002F758E">
      <w:pPr>
        <w:jc w:val="center"/>
        <w:rPr>
          <w:rFonts w:ascii="Arial" w:hAnsi="Arial" w:cs="Arial"/>
          <w:b/>
        </w:rPr>
      </w:pPr>
      <w:r w:rsidRPr="001D12EC">
        <w:rPr>
          <w:rFonts w:ascii="Arial" w:hAnsi="Arial" w:cs="Arial"/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685800</wp:posOffset>
            </wp:positionV>
            <wp:extent cx="1428750" cy="45720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A95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left:0;text-align:left;margin-left:338.25pt;margin-top:54pt;width:111.75pt;height:35.25pt;z-index:251666944;mso-position-horizontal-relative:text;mso-position-vertical-relative:text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F758E" w:rsidRPr="002F758E" w:rsidRDefault="002F758E" w:rsidP="002F758E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Plant</w:t>
                  </w:r>
                </w:p>
              </w:txbxContent>
            </v:textbox>
          </v:shape>
        </w:pict>
      </w:r>
      <w:r w:rsidRPr="001D12EC">
        <w:rPr>
          <w:rFonts w:ascii="Arial" w:hAnsi="Arial" w:cs="Arial"/>
          <w:b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1466850</wp:posOffset>
            </wp:positionV>
            <wp:extent cx="1181100" cy="342900"/>
            <wp:effectExtent l="19050" t="0" r="0" b="0"/>
            <wp:wrapNone/>
            <wp:docPr id="18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9125" cy="266700"/>
                      <a:chOff x="0" y="0"/>
                      <a:chExt cx="619125" cy="266700"/>
                    </a:xfrm>
                  </a:grpSpPr>
                  <a:sp>
                    <a:nvSpPr>
                      <a:cNvPr id="57" name="Right Arrow 56"/>
                      <a:cNvSpPr/>
                    </a:nvSpPr>
                    <a:spPr>
                      <a:xfrm>
                        <a:off x="0" y="0"/>
                        <a:ext cx="619125" cy="2667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1D12EC">
        <w:rPr>
          <w:rFonts w:ascii="Arial" w:hAnsi="Arial" w:cs="Arial"/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1724025</wp:posOffset>
            </wp:positionV>
            <wp:extent cx="5438775" cy="3514725"/>
            <wp:effectExtent l="0" t="0" r="0" b="0"/>
            <wp:wrapNone/>
            <wp:docPr id="1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57700" cy="2876550"/>
                      <a:chOff x="0" y="0"/>
                      <a:chExt cx="4457700" cy="2876550"/>
                    </a:xfrm>
                  </a:grpSpPr>
                  <a:cxnSp>
                    <a:nvCxnSpPr>
                      <a:cNvPr id="13" name="Straight Arrow Connector 12"/>
                      <a:cNvCxnSpPr>
                        <a:stCxn id="19" idx="6"/>
                      </a:cNvCxnSpPr>
                    </a:nvCxnSpPr>
                    <a:spPr>
                      <a:xfrm>
                        <a:off x="952500" y="285750"/>
                        <a:ext cx="2514600" cy="2286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4"/>
                        </a:solidFill>
                        <a:tailEnd type="arrow"/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>
                        <a:stCxn id="19" idx="6"/>
                        <a:endCxn id="23" idx="2"/>
                      </a:cNvCxnSpPr>
                    </a:nvCxnSpPr>
                    <a:spPr>
                      <a:xfrm>
                        <a:off x="952500" y="285750"/>
                        <a:ext cx="2590800" cy="1676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4"/>
                        </a:solidFill>
                        <a:tailEnd type="arrow"/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Arrow Connector 14"/>
                      <a:cNvCxnSpPr>
                        <a:stCxn id="20" idx="6"/>
                        <a:endCxn id="22" idx="2"/>
                      </a:cNvCxnSpPr>
                    </a:nvCxnSpPr>
                    <a:spPr>
                      <a:xfrm flipV="1">
                        <a:off x="914400" y="533400"/>
                        <a:ext cx="2590800" cy="94297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Arrow Connector 15"/>
                      <a:cNvCxnSpPr>
                        <a:stCxn id="20" idx="6"/>
                        <a:endCxn id="23" idx="2"/>
                      </a:cNvCxnSpPr>
                    </a:nvCxnSpPr>
                    <a:spPr>
                      <a:xfrm>
                        <a:off x="914400" y="1476375"/>
                        <a:ext cx="2628900" cy="48577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Arrow Connector 16"/>
                      <a:cNvCxnSpPr>
                        <a:stCxn id="21" idx="6"/>
                        <a:endCxn id="22" idx="2"/>
                      </a:cNvCxnSpPr>
                    </a:nvCxnSpPr>
                    <a:spPr>
                      <a:xfrm flipV="1">
                        <a:off x="933450" y="533400"/>
                        <a:ext cx="2571750" cy="2057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3"/>
                        </a:solidFill>
                        <a:tailEnd type="triangle"/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Arrow Connector 17"/>
                      <a:cNvCxnSpPr>
                        <a:stCxn id="21" idx="6"/>
                        <a:endCxn id="23" idx="2"/>
                      </a:cNvCxnSpPr>
                    </a:nvCxnSpPr>
                    <a:spPr>
                      <a:xfrm flipV="1">
                        <a:off x="933450" y="1962150"/>
                        <a:ext cx="2609850" cy="62865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3"/>
                        </a:solidFill>
                        <a:tailEnd type="arrow"/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Oval 18"/>
                      <a:cNvSpPr/>
                    </a:nvSpPr>
                    <a:spPr>
                      <a:xfrm>
                        <a:off x="38100" y="0"/>
                        <a:ext cx="914400" cy="57150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4"/>
                        </a:solidFill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/>
                            <a:t>S1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Oval 19"/>
                      <a:cNvSpPr/>
                    </a:nvSpPr>
                    <a:spPr>
                      <a:xfrm>
                        <a:off x="0" y="1190625"/>
                        <a:ext cx="914400" cy="571500"/>
                      </a:xfrm>
                      <a:prstGeom prst="ellipse">
                        <a:avLst/>
                      </a:prstGeom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/>
                            <a:t>S2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val 20"/>
                      <a:cNvSpPr/>
                    </a:nvSpPr>
                    <a:spPr>
                      <a:xfrm>
                        <a:off x="19050" y="2305050"/>
                        <a:ext cx="914400" cy="571500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/>
                        </a:solidFill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/>
                            <a:t>S3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Oval 21"/>
                      <a:cNvSpPr/>
                    </a:nvSpPr>
                    <a:spPr>
                      <a:xfrm>
                        <a:off x="3505200" y="247650"/>
                        <a:ext cx="914400" cy="57150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/>
                            <a:t>P1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Oval 22"/>
                      <a:cNvSpPr/>
                    </a:nvSpPr>
                    <a:spPr>
                      <a:xfrm>
                        <a:off x="3543300" y="1676400"/>
                        <a:ext cx="914400" cy="57150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2"/>
                        </a:solidFill>
                      </a:ln>
                      <a:scene3d>
                        <a:camera prst="obliqueTopRight"/>
                        <a:lightRig rig="threePt" dir="t"/>
                      </a:scene3d>
                      <a:sp3d>
                        <a:bevelT/>
                      </a:sp3d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/>
                            <a:t>P2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1D12EC">
        <w:rPr>
          <w:rFonts w:ascii="Arial" w:hAnsi="Arial" w:cs="Arial"/>
          <w:b/>
        </w:rPr>
        <w:t xml:space="preserve">Exhibit </w:t>
      </w:r>
      <w:r w:rsidR="001D12EC" w:rsidRPr="001D12EC">
        <w:rPr>
          <w:rFonts w:ascii="Arial" w:hAnsi="Arial" w:cs="Arial"/>
          <w:b/>
        </w:rPr>
        <w:t>C</w:t>
      </w:r>
      <w:r w:rsidRPr="001D12EC">
        <w:rPr>
          <w:rFonts w:ascii="Arial" w:hAnsi="Arial" w:cs="Arial"/>
          <w:b/>
        </w:rPr>
        <w:t>: Network Diagram</w:t>
      </w:r>
    </w:p>
    <w:sectPr w:rsidR="002378BE" w:rsidRPr="001D12EC" w:rsidSect="00EB3E5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378BE"/>
    <w:rsid w:val="000C5FE8"/>
    <w:rsid w:val="00153439"/>
    <w:rsid w:val="00156A95"/>
    <w:rsid w:val="00197A64"/>
    <w:rsid w:val="001D12EC"/>
    <w:rsid w:val="002378BE"/>
    <w:rsid w:val="0028045E"/>
    <w:rsid w:val="002F6325"/>
    <w:rsid w:val="002F758E"/>
    <w:rsid w:val="00482173"/>
    <w:rsid w:val="005E2C87"/>
    <w:rsid w:val="00682309"/>
    <w:rsid w:val="007541BA"/>
    <w:rsid w:val="00761108"/>
    <w:rsid w:val="007D1CDC"/>
    <w:rsid w:val="00807C33"/>
    <w:rsid w:val="008563E3"/>
    <w:rsid w:val="009B641C"/>
    <w:rsid w:val="00A1357B"/>
    <w:rsid w:val="00A67AF1"/>
    <w:rsid w:val="00C6043C"/>
    <w:rsid w:val="00CB3046"/>
    <w:rsid w:val="00CD5E56"/>
    <w:rsid w:val="00D52506"/>
    <w:rsid w:val="00EB3E57"/>
    <w:rsid w:val="00F3697F"/>
    <w:rsid w:val="00F64ABE"/>
  </w:rsids>
  <m:mathPr>
    <m:mathFont m:val="Adobe Garamon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04]"/>
    </o:shapedefaults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4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41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821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482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7B"/>
    <w:rPr>
      <w:rFonts w:ascii="Tahoma" w:hAnsi="Tahoma" w:cs="Tahoma"/>
      <w:sz w:val="16"/>
      <w:szCs w:val="16"/>
    </w:rPr>
  </w:style>
  <w:style w:type="table" w:styleId="ColorfulList-Accent2">
    <w:name w:val="Colorful List Accent 2"/>
    <w:basedOn w:val="TableNormal"/>
    <w:uiPriority w:val="72"/>
    <w:rsid w:val="007D1C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759</Words>
  <Characters>4329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Franco</dc:creator>
  <cp:lastModifiedBy>Erica Franco</cp:lastModifiedBy>
  <cp:revision>2</cp:revision>
  <cp:lastPrinted>2008-05-08T00:05:00Z</cp:lastPrinted>
  <dcterms:created xsi:type="dcterms:W3CDTF">2011-02-04T08:24:00Z</dcterms:created>
  <dcterms:modified xsi:type="dcterms:W3CDTF">2011-02-04T08:24:00Z</dcterms:modified>
</cp:coreProperties>
</file>