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C07" w:rsidRPr="00232515" w:rsidRDefault="009A1C07" w:rsidP="009A1C07">
      <w:pPr>
        <w:jc w:val="center"/>
        <w:rPr>
          <w:rFonts w:asciiTheme="majorBidi" w:hAnsiTheme="majorBidi" w:cstheme="majorBidi"/>
          <w:b/>
        </w:rPr>
      </w:pPr>
      <w:r w:rsidRPr="00232515">
        <w:rPr>
          <w:rFonts w:asciiTheme="majorBidi" w:hAnsiTheme="majorBidi" w:cstheme="majorBidi"/>
          <w:b/>
          <w:noProof/>
        </w:rPr>
        <w:drawing>
          <wp:inline distT="0" distB="0" distL="0" distR="0">
            <wp:extent cx="1026755" cy="1043940"/>
            <wp:effectExtent l="19050" t="0" r="19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826" cy="1044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2515" w:rsidRDefault="00232515" w:rsidP="00856B02">
      <w:pPr>
        <w:jc w:val="center"/>
        <w:rPr>
          <w:rFonts w:asciiTheme="majorBidi" w:hAnsiTheme="majorBidi" w:cstheme="majorBidi"/>
          <w:b/>
        </w:rPr>
      </w:pPr>
    </w:p>
    <w:p w:rsidR="00856B02" w:rsidRPr="00232515" w:rsidRDefault="00433176" w:rsidP="00856B02">
      <w:pPr>
        <w:jc w:val="center"/>
        <w:rPr>
          <w:rFonts w:asciiTheme="majorBidi" w:hAnsiTheme="majorBidi" w:cstheme="majorBidi"/>
          <w:b/>
        </w:rPr>
      </w:pPr>
      <w:r w:rsidRPr="00232515">
        <w:rPr>
          <w:rFonts w:asciiTheme="majorBidi" w:hAnsiTheme="majorBidi" w:cstheme="majorBidi"/>
          <w:b/>
        </w:rPr>
        <w:t xml:space="preserve">Q1 Net Income up 43% </w:t>
      </w:r>
      <w:r w:rsidR="00856B02" w:rsidRPr="00232515">
        <w:rPr>
          <w:rFonts w:asciiTheme="majorBidi" w:hAnsiTheme="majorBidi" w:cstheme="majorBidi"/>
          <w:b/>
        </w:rPr>
        <w:t>from Q1 2010;</w:t>
      </w:r>
    </w:p>
    <w:p w:rsidR="00453616" w:rsidRPr="00232515" w:rsidRDefault="00856B02" w:rsidP="00856B02">
      <w:pPr>
        <w:jc w:val="center"/>
        <w:rPr>
          <w:rFonts w:asciiTheme="majorBidi" w:hAnsiTheme="majorBidi" w:cstheme="majorBidi"/>
          <w:b/>
        </w:rPr>
      </w:pPr>
      <w:r w:rsidRPr="00232515">
        <w:rPr>
          <w:rFonts w:asciiTheme="majorBidi" w:hAnsiTheme="majorBidi" w:cstheme="majorBidi"/>
          <w:b/>
        </w:rPr>
        <w:t>Q1 EPS Up 40% to $0.45; Q1 Revenue Up 8% to $2.95 billion</w:t>
      </w:r>
    </w:p>
    <w:p w:rsidR="00453616" w:rsidRPr="00232515" w:rsidRDefault="00453616" w:rsidP="00856B02">
      <w:pPr>
        <w:jc w:val="center"/>
        <w:rPr>
          <w:rFonts w:asciiTheme="majorBidi" w:hAnsiTheme="majorBidi" w:cstheme="majorBidi"/>
          <w:b/>
        </w:rPr>
      </w:pPr>
    </w:p>
    <w:p w:rsidR="00433176" w:rsidRPr="00232515" w:rsidRDefault="009A1C07" w:rsidP="00A263E4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 xml:space="preserve">SEATTLE, </w:t>
      </w:r>
      <w:r w:rsidR="00A263E4" w:rsidRPr="00232515">
        <w:rPr>
          <w:rFonts w:asciiTheme="majorBidi" w:hAnsiTheme="majorBidi" w:cstheme="majorBidi"/>
        </w:rPr>
        <w:t>March</w:t>
      </w:r>
      <w:r w:rsidR="00453616" w:rsidRPr="00232515">
        <w:rPr>
          <w:rFonts w:asciiTheme="majorBidi" w:hAnsiTheme="majorBidi" w:cstheme="majorBidi"/>
        </w:rPr>
        <w:t xml:space="preserve"> 4, 2010 (Business Wire) – </w:t>
      </w:r>
    </w:p>
    <w:p w:rsidR="00835CD5" w:rsidRPr="00232515" w:rsidRDefault="00835CD5" w:rsidP="00856B02">
      <w:pPr>
        <w:jc w:val="center"/>
        <w:rPr>
          <w:rFonts w:asciiTheme="majorBidi" w:hAnsiTheme="majorBidi" w:cstheme="majorBidi"/>
        </w:rPr>
      </w:pPr>
    </w:p>
    <w:p w:rsidR="00835CD5" w:rsidRPr="00232515" w:rsidRDefault="00835CD5" w:rsidP="00835CD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Starbucks Corporation (NASDAQ: SBUX) today reported financi</w:t>
      </w:r>
      <w:r w:rsidR="00E5742F" w:rsidRPr="00232515">
        <w:rPr>
          <w:rFonts w:asciiTheme="majorBidi" w:hAnsiTheme="majorBidi" w:cstheme="majorBidi"/>
        </w:rPr>
        <w:t>al results for its fiscal first</w:t>
      </w:r>
      <w:r w:rsidRPr="00232515">
        <w:rPr>
          <w:rFonts w:asciiTheme="majorBidi" w:hAnsiTheme="majorBidi" w:cstheme="majorBidi"/>
        </w:rPr>
        <w:t xml:space="preserve"> quarter from 2011. </w:t>
      </w:r>
    </w:p>
    <w:p w:rsidR="00433176" w:rsidRPr="00232515" w:rsidRDefault="00433176" w:rsidP="00835CD5">
      <w:pPr>
        <w:rPr>
          <w:rFonts w:asciiTheme="majorBidi" w:hAnsiTheme="majorBidi" w:cstheme="majorBidi"/>
        </w:rPr>
      </w:pPr>
    </w:p>
    <w:p w:rsidR="00566472" w:rsidRPr="00232515" w:rsidRDefault="00566472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Fiscal First Quarter 2011 Highlights:</w:t>
      </w:r>
    </w:p>
    <w:p w:rsidR="00566472" w:rsidRPr="00232515" w:rsidRDefault="00566472" w:rsidP="0056647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Total net revenues in Q1 2011 increased to $2.95 billion, an 8% increase from Q1 2010</w:t>
      </w:r>
    </w:p>
    <w:p w:rsidR="00433176" w:rsidRPr="00232515" w:rsidRDefault="00433176" w:rsidP="0043317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 xml:space="preserve">As a result, net income expanded by 43% from Q1 2011 to Q1 2010. </w:t>
      </w:r>
    </w:p>
    <w:p w:rsidR="00433176" w:rsidRPr="00232515" w:rsidRDefault="00433176" w:rsidP="00433176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 xml:space="preserve">EPS increased to $0.45 in Q1 2011 from $0.32 in Q1 2010. </w:t>
      </w:r>
    </w:p>
    <w:p w:rsidR="00566472" w:rsidRPr="00232515" w:rsidRDefault="00566472" w:rsidP="0056647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 xml:space="preserve">Although the cost of goods and services increased to $1.2 billion, its percentage in relation to revenue was </w:t>
      </w:r>
      <w:r w:rsidR="009A1C07" w:rsidRPr="00232515">
        <w:rPr>
          <w:rFonts w:asciiTheme="majorBidi" w:hAnsiTheme="majorBidi" w:cstheme="majorBidi"/>
        </w:rPr>
        <w:t xml:space="preserve">only </w:t>
      </w:r>
      <w:r w:rsidRPr="00232515">
        <w:rPr>
          <w:rFonts w:asciiTheme="majorBidi" w:hAnsiTheme="majorBidi" w:cstheme="majorBidi"/>
        </w:rPr>
        <w:t>40%, down from 42% in Q1 2010</w:t>
      </w:r>
    </w:p>
    <w:p w:rsidR="00566472" w:rsidRPr="00232515" w:rsidRDefault="00566472" w:rsidP="00566472">
      <w:pPr>
        <w:pStyle w:val="ListParagraph"/>
        <w:numPr>
          <w:ilvl w:val="0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Operating margin increased from 13% in Q1 2010 to 17% in Q1 2011, with a final operating income of $501 million</w:t>
      </w:r>
    </w:p>
    <w:p w:rsidR="00856B02" w:rsidRPr="00232515" w:rsidRDefault="00566472" w:rsidP="00566472">
      <w:pPr>
        <w:pStyle w:val="ListParagraph"/>
        <w:numPr>
          <w:ilvl w:val="1"/>
          <w:numId w:val="1"/>
        </w:num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 xml:space="preserve">The percentage of net income also increased from 9% to 12%, with a final net income of $346 million in Q1 2011. </w:t>
      </w:r>
    </w:p>
    <w:p w:rsidR="00856B02" w:rsidRPr="00232515" w:rsidRDefault="00856B02" w:rsidP="00856B02">
      <w:pPr>
        <w:rPr>
          <w:rFonts w:asciiTheme="majorBidi" w:hAnsiTheme="majorBidi" w:cstheme="majorBidi"/>
        </w:rPr>
      </w:pPr>
    </w:p>
    <w:p w:rsidR="00856B02" w:rsidRPr="00232515" w:rsidRDefault="00856B02" w:rsidP="009A1C07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“The record from our first quarter is truly a testament of all the hard work given by our employees and other Sta</w:t>
      </w:r>
      <w:r w:rsidR="009A1C07" w:rsidRPr="00232515">
        <w:rPr>
          <w:rFonts w:asciiTheme="majorBidi" w:hAnsiTheme="majorBidi" w:cstheme="majorBidi"/>
        </w:rPr>
        <w:t>rbucks chains around the world,”</w:t>
      </w:r>
      <w:r w:rsidRPr="00232515">
        <w:rPr>
          <w:rFonts w:asciiTheme="majorBidi" w:hAnsiTheme="majorBidi" w:cstheme="majorBidi"/>
        </w:rPr>
        <w:t xml:space="preserve"> </w:t>
      </w:r>
      <w:r w:rsidR="009A1C07" w:rsidRPr="00232515">
        <w:rPr>
          <w:rFonts w:asciiTheme="majorBidi" w:hAnsiTheme="majorBidi" w:cstheme="majorBidi"/>
        </w:rPr>
        <w:t>says Howard Schultz, chairman, president and CEO. “</w:t>
      </w:r>
      <w:r w:rsidRPr="00232515">
        <w:rPr>
          <w:rFonts w:asciiTheme="majorBidi" w:hAnsiTheme="majorBidi" w:cstheme="majorBidi"/>
        </w:rPr>
        <w:t>We cannot thank our customers enough in helping to contribute to the economic successes that t</w:t>
      </w:r>
      <w:r w:rsidR="009A1C07" w:rsidRPr="00232515">
        <w:rPr>
          <w:rFonts w:asciiTheme="majorBidi" w:hAnsiTheme="majorBidi" w:cstheme="majorBidi"/>
        </w:rPr>
        <w:t xml:space="preserve">his company has made thus far. </w:t>
      </w:r>
      <w:r w:rsidRPr="00232515">
        <w:rPr>
          <w:rFonts w:asciiTheme="majorBidi" w:hAnsiTheme="majorBidi" w:cstheme="majorBidi"/>
        </w:rPr>
        <w:t>This has been a great year for not only us as a company but also for our other partners as well and we hope to strengthen our economic performance throughout the years to come.”</w:t>
      </w:r>
    </w:p>
    <w:p w:rsidR="00566472" w:rsidRPr="00232515" w:rsidRDefault="00566472" w:rsidP="00856B02">
      <w:pPr>
        <w:rPr>
          <w:rFonts w:asciiTheme="majorBidi" w:hAnsiTheme="majorBidi" w:cstheme="majorBidi"/>
        </w:rPr>
      </w:pPr>
    </w:p>
    <w:p w:rsidR="00433176" w:rsidRPr="00232515" w:rsidRDefault="00232515">
      <w:pPr>
        <w:rPr>
          <w:rFonts w:asciiTheme="majorBidi" w:hAnsiTheme="majorBidi" w:cstheme="majorBidi"/>
          <w:b/>
          <w:bCs/>
        </w:rPr>
      </w:pPr>
      <w:r w:rsidRPr="00232515">
        <w:rPr>
          <w:rFonts w:asciiTheme="majorBidi" w:hAnsiTheme="majorBidi" w:cstheme="majorBidi"/>
          <w:b/>
          <w:bCs/>
        </w:rPr>
        <w:t>Contact</w:t>
      </w:r>
    </w:p>
    <w:p w:rsidR="00232515" w:rsidRPr="00232515" w:rsidRDefault="0023251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James Watkins</w:t>
      </w:r>
    </w:p>
    <w:p w:rsidR="00232515" w:rsidRPr="00232515" w:rsidRDefault="0023251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Account Executive</w:t>
      </w:r>
    </w:p>
    <w:p w:rsidR="00232515" w:rsidRPr="00232515" w:rsidRDefault="0023251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Starbucks Investor Relations</w:t>
      </w:r>
    </w:p>
    <w:p w:rsidR="00232515" w:rsidRPr="00232515" w:rsidRDefault="0023251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(916) 622-2908</w:t>
      </w:r>
    </w:p>
    <w:p w:rsidR="00232515" w:rsidRPr="00232515" w:rsidRDefault="00232515">
      <w:pPr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jamesw@uoregon.edu</w:t>
      </w:r>
    </w:p>
    <w:p w:rsidR="00232515" w:rsidRPr="00232515" w:rsidRDefault="00232515">
      <w:pPr>
        <w:rPr>
          <w:rFonts w:asciiTheme="majorBidi" w:hAnsiTheme="majorBidi" w:cstheme="majorBidi"/>
        </w:rPr>
      </w:pPr>
    </w:p>
    <w:p w:rsidR="00232515" w:rsidRPr="00232515" w:rsidRDefault="00232515" w:rsidP="00232515">
      <w:pPr>
        <w:jc w:val="center"/>
        <w:rPr>
          <w:rFonts w:asciiTheme="majorBidi" w:hAnsiTheme="majorBidi" w:cstheme="majorBidi"/>
        </w:rPr>
      </w:pPr>
      <w:r w:rsidRPr="00232515">
        <w:rPr>
          <w:rFonts w:asciiTheme="majorBidi" w:hAnsiTheme="majorBidi" w:cstheme="majorBidi"/>
        </w:rPr>
        <w:t>###</w:t>
      </w:r>
    </w:p>
    <w:sectPr w:rsidR="00232515" w:rsidRPr="00232515" w:rsidSect="004331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177"/>
    <w:multiLevelType w:val="hybridMultilevel"/>
    <w:tmpl w:val="311C6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</w:compat>
  <w:rsids>
    <w:rsidRoot w:val="00566472"/>
    <w:rsid w:val="001B11A3"/>
    <w:rsid w:val="00232515"/>
    <w:rsid w:val="00433176"/>
    <w:rsid w:val="00453616"/>
    <w:rsid w:val="00566472"/>
    <w:rsid w:val="00720F6C"/>
    <w:rsid w:val="00782C3B"/>
    <w:rsid w:val="00835CD5"/>
    <w:rsid w:val="00856B02"/>
    <w:rsid w:val="0096212C"/>
    <w:rsid w:val="009A1C07"/>
    <w:rsid w:val="00A263E4"/>
    <w:rsid w:val="00B67F18"/>
    <w:rsid w:val="00E5742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4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C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25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>University of Oregon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James</cp:lastModifiedBy>
  <cp:revision>4</cp:revision>
  <cp:lastPrinted>2011-03-09T05:44:00Z</cp:lastPrinted>
  <dcterms:created xsi:type="dcterms:W3CDTF">2011-02-02T17:50:00Z</dcterms:created>
  <dcterms:modified xsi:type="dcterms:W3CDTF">2011-03-09T05:44:00Z</dcterms:modified>
</cp:coreProperties>
</file>