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73649" w:themeColor="accent6" w:themeShade="7F"/>
  <w:body>
    <w:tbl>
      <w:tblPr>
        <w:tblpPr w:leftFromText="180" w:rightFromText="180" w:vertAnchor="page" w:horzAnchor="margin" w:tblpY="3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0"/>
        <w:gridCol w:w="5138"/>
      </w:tblGrid>
      <w:tr w:rsidR="0074508C" w:rsidRPr="00AC5CB2" w:rsidTr="005528D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0" w:type="auto"/>
          </w:tcPr>
          <w:p w:rsidR="0074508C" w:rsidRDefault="0074508C" w:rsidP="005528DB">
            <w:pPr>
              <w:jc w:val="both"/>
              <w:rPr>
                <w:i/>
                <w:sz w:val="22"/>
              </w:rPr>
            </w:pPr>
          </w:p>
          <w:p w:rsidR="0074508C" w:rsidRPr="001A2703" w:rsidRDefault="0074508C" w:rsidP="005528DB">
            <w:pPr>
              <w:jc w:val="both"/>
              <w:rPr>
                <w:i/>
                <w:sz w:val="22"/>
              </w:rPr>
            </w:pPr>
            <w:r w:rsidRPr="001A2703">
              <w:rPr>
                <w:i/>
                <w:sz w:val="22"/>
              </w:rPr>
              <w:t>Nature of Assignment</w:t>
            </w:r>
          </w:p>
        </w:tc>
        <w:tc>
          <w:tcPr>
            <w:tcW w:w="5138" w:type="dxa"/>
            <w:vAlign w:val="center"/>
          </w:tcPr>
          <w:p w:rsidR="0074508C" w:rsidRPr="005A30BF" w:rsidRDefault="0074508C" w:rsidP="005528DB">
            <w:pPr>
              <w:pStyle w:val="Heading5"/>
              <w:ind w:right="737"/>
              <w:jc w:val="both"/>
              <w:rPr>
                <w:sz w:val="22"/>
                <w:lang w:val="en-US" w:eastAsia="en-US"/>
              </w:rPr>
            </w:pPr>
            <w:r w:rsidRPr="005A30BF">
              <w:rPr>
                <w:sz w:val="22"/>
                <w:lang w:val="en-US" w:eastAsia="en-US"/>
              </w:rPr>
              <w:t xml:space="preserve">                       </w:t>
            </w:r>
          </w:p>
          <w:p w:rsidR="0074508C" w:rsidRPr="005A30BF" w:rsidRDefault="0074508C" w:rsidP="005528DB">
            <w:pPr>
              <w:pStyle w:val="Heading5"/>
              <w:ind w:right="737"/>
              <w:jc w:val="both"/>
              <w:rPr>
                <w:sz w:val="22"/>
                <w:lang w:val="en-US" w:eastAsia="en-US"/>
              </w:rPr>
            </w:pPr>
            <w:r w:rsidRPr="005A30BF">
              <w:rPr>
                <w:sz w:val="22"/>
                <w:lang w:val="en-US" w:eastAsia="en-US"/>
              </w:rPr>
              <w:t>Particulars of Industry</w:t>
            </w:r>
          </w:p>
        </w:tc>
      </w:tr>
      <w:tr w:rsidR="0074508C" w:rsidRPr="00AC5CB2" w:rsidTr="005528DB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0" w:type="auto"/>
          </w:tcPr>
          <w:p w:rsidR="0074508C" w:rsidRPr="00EA6DB3" w:rsidRDefault="0074508C" w:rsidP="005528DB">
            <w:pPr>
              <w:rPr>
                <w:b/>
                <w:sz w:val="22"/>
              </w:rPr>
            </w:pPr>
            <w:r w:rsidRPr="00EA6DB3">
              <w:rPr>
                <w:b/>
                <w:sz w:val="22"/>
              </w:rPr>
              <w:t>Banking Sector</w:t>
            </w:r>
          </w:p>
          <w:p w:rsidR="0074508C" w:rsidRPr="005659B1" w:rsidRDefault="0074508C" w:rsidP="005528DB">
            <w:pPr>
              <w:rPr>
                <w:sz w:val="22"/>
              </w:rPr>
            </w:pPr>
          </w:p>
          <w:p w:rsidR="0074508C" w:rsidRPr="005659B1" w:rsidRDefault="0074508C" w:rsidP="005528DB">
            <w:pPr>
              <w:rPr>
                <w:sz w:val="22"/>
              </w:rPr>
            </w:pPr>
          </w:p>
          <w:p w:rsidR="0074508C" w:rsidRDefault="0074508C" w:rsidP="005528DB">
            <w:pPr>
              <w:tabs>
                <w:tab w:val="left" w:pos="333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5138" w:type="dxa"/>
          </w:tcPr>
          <w:p w:rsidR="0074508C" w:rsidRDefault="0074508C" w:rsidP="005528DB">
            <w:pPr>
              <w:numPr>
                <w:ilvl w:val="0"/>
                <w:numId w:val="1"/>
              </w:num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Revenue Audit</w:t>
            </w:r>
          </w:p>
          <w:p w:rsidR="0074508C" w:rsidRPr="005659B1" w:rsidRDefault="0074508C" w:rsidP="005528DB">
            <w:pPr>
              <w:ind w:left="360"/>
              <w:jc w:val="both"/>
              <w:rPr>
                <w:sz w:val="22"/>
              </w:rPr>
            </w:pPr>
            <w:r>
              <w:rPr>
                <w:sz w:val="22"/>
              </w:rPr>
              <w:t xml:space="preserve">Punjab National Bank(Circle </w:t>
            </w:r>
            <w:proofErr w:type="spellStart"/>
            <w:r>
              <w:rPr>
                <w:sz w:val="22"/>
              </w:rPr>
              <w:t>Office,HP</w:t>
            </w:r>
            <w:proofErr w:type="spellEnd"/>
            <w:r>
              <w:rPr>
                <w:sz w:val="22"/>
              </w:rPr>
              <w:t>)</w:t>
            </w:r>
          </w:p>
          <w:p w:rsidR="0074508C" w:rsidRDefault="0074508C" w:rsidP="005528DB">
            <w:pPr>
              <w:ind w:left="360"/>
              <w:jc w:val="both"/>
              <w:rPr>
                <w:sz w:val="22"/>
              </w:rPr>
            </w:pPr>
          </w:p>
          <w:p w:rsidR="0074508C" w:rsidRPr="001A2703" w:rsidRDefault="0074508C" w:rsidP="005528DB">
            <w:pPr>
              <w:ind w:left="360"/>
              <w:jc w:val="both"/>
              <w:rPr>
                <w:sz w:val="22"/>
              </w:rPr>
            </w:pPr>
          </w:p>
          <w:p w:rsidR="0074508C" w:rsidRDefault="0074508C" w:rsidP="005528DB">
            <w:pPr>
              <w:ind w:left="720"/>
              <w:jc w:val="both"/>
              <w:rPr>
                <w:i/>
                <w:sz w:val="22"/>
              </w:rPr>
            </w:pPr>
          </w:p>
        </w:tc>
      </w:tr>
      <w:tr w:rsidR="0074508C" w:rsidRPr="00BC0057" w:rsidTr="005528DB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0" w:type="auto"/>
          </w:tcPr>
          <w:p w:rsidR="0074508C" w:rsidRDefault="0074508C" w:rsidP="005528DB">
            <w:pPr>
              <w:rPr>
                <w:sz w:val="22"/>
              </w:rPr>
            </w:pPr>
          </w:p>
          <w:p w:rsidR="0074508C" w:rsidRPr="00EA6DB3" w:rsidRDefault="0074508C" w:rsidP="005528DB">
            <w:pPr>
              <w:rPr>
                <w:b/>
                <w:i/>
                <w:sz w:val="22"/>
              </w:rPr>
            </w:pPr>
            <w:r w:rsidRPr="00EA6DB3">
              <w:rPr>
                <w:b/>
                <w:sz w:val="22"/>
              </w:rPr>
              <w:t>Education Sector</w:t>
            </w:r>
          </w:p>
        </w:tc>
        <w:tc>
          <w:tcPr>
            <w:tcW w:w="5138" w:type="dxa"/>
          </w:tcPr>
          <w:p w:rsidR="0074508C" w:rsidRPr="007E4AB3" w:rsidRDefault="0074508C" w:rsidP="005528DB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r w:rsidRPr="007E4AB3">
              <w:rPr>
                <w:i/>
                <w:sz w:val="22"/>
              </w:rPr>
              <w:t>Internal Audit</w:t>
            </w:r>
          </w:p>
          <w:p w:rsidR="0074508C" w:rsidRDefault="0074508C" w:rsidP="005528DB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Institute of Open Schooling(NIOS)</w:t>
            </w:r>
          </w:p>
          <w:p w:rsidR="0074508C" w:rsidRDefault="0074508C" w:rsidP="005528DB">
            <w:pPr>
              <w:ind w:left="360"/>
              <w:jc w:val="both"/>
              <w:rPr>
                <w:sz w:val="22"/>
                <w:szCs w:val="22"/>
              </w:rPr>
            </w:pPr>
          </w:p>
          <w:p w:rsidR="0074508C" w:rsidRDefault="0074508C" w:rsidP="005528DB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Agriculture Economic Research Centre </w:t>
            </w:r>
            <w:r>
              <w:rPr>
                <w:sz w:val="22"/>
                <w:szCs w:val="22"/>
              </w:rPr>
              <w:br/>
              <w:t>(Delhi University)</w:t>
            </w:r>
          </w:p>
          <w:p w:rsidR="0074508C" w:rsidRDefault="0074508C" w:rsidP="005528DB">
            <w:pPr>
              <w:ind w:left="360"/>
              <w:jc w:val="both"/>
              <w:rPr>
                <w:sz w:val="22"/>
                <w:szCs w:val="22"/>
              </w:rPr>
            </w:pPr>
          </w:p>
          <w:p w:rsidR="0074508C" w:rsidRPr="007E4AB3" w:rsidRDefault="0074508C" w:rsidP="005528DB">
            <w:pPr>
              <w:numPr>
                <w:ilvl w:val="0"/>
                <w:numId w:val="1"/>
              </w:numPr>
              <w:jc w:val="both"/>
              <w:rPr>
                <w:i/>
                <w:sz w:val="22"/>
              </w:rPr>
            </w:pPr>
            <w:r w:rsidRPr="001A2703">
              <w:rPr>
                <w:i/>
                <w:sz w:val="22"/>
              </w:rPr>
              <w:t>Statutory Audit</w:t>
            </w:r>
          </w:p>
          <w:p w:rsidR="0074508C" w:rsidRPr="00E07BB2" w:rsidRDefault="0074508C" w:rsidP="005528DB">
            <w:pPr>
              <w:ind w:left="360"/>
              <w:jc w:val="both"/>
              <w:rPr>
                <w:sz w:val="22"/>
              </w:rPr>
            </w:pPr>
            <w:r>
              <w:rPr>
                <w:sz w:val="22"/>
              </w:rPr>
              <w:t>IGNOU(</w:t>
            </w:r>
            <w:proofErr w:type="spellStart"/>
            <w:r>
              <w:rPr>
                <w:sz w:val="22"/>
              </w:rPr>
              <w:t>Sarva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Shiksha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Abhiyan</w:t>
            </w:r>
            <w:proofErr w:type="spellEnd"/>
            <w:r>
              <w:rPr>
                <w:sz w:val="22"/>
              </w:rPr>
              <w:t>)</w:t>
            </w:r>
          </w:p>
          <w:p w:rsidR="0074508C" w:rsidRPr="001A2703" w:rsidRDefault="0074508C" w:rsidP="005528DB">
            <w:pPr>
              <w:jc w:val="both"/>
              <w:rPr>
                <w:sz w:val="22"/>
                <w:szCs w:val="22"/>
              </w:rPr>
            </w:pPr>
          </w:p>
        </w:tc>
      </w:tr>
      <w:tr w:rsidR="0074508C" w:rsidRPr="00BC0057" w:rsidTr="005528DB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0" w:type="auto"/>
          </w:tcPr>
          <w:p w:rsidR="0074508C" w:rsidRPr="00EA6DB3" w:rsidRDefault="0074508C" w:rsidP="005528DB">
            <w:pPr>
              <w:jc w:val="both"/>
              <w:rPr>
                <w:b/>
                <w:sz w:val="22"/>
              </w:rPr>
            </w:pPr>
            <w:r w:rsidRPr="00EA6DB3">
              <w:rPr>
                <w:b/>
                <w:sz w:val="22"/>
              </w:rPr>
              <w:t>Service Sector</w:t>
            </w:r>
          </w:p>
          <w:p w:rsidR="0074508C" w:rsidRPr="001A2703" w:rsidRDefault="0074508C" w:rsidP="005528DB">
            <w:pPr>
              <w:jc w:val="both"/>
              <w:rPr>
                <w:sz w:val="22"/>
              </w:rPr>
            </w:pPr>
          </w:p>
        </w:tc>
        <w:tc>
          <w:tcPr>
            <w:tcW w:w="5138" w:type="dxa"/>
          </w:tcPr>
          <w:p w:rsidR="0074508C" w:rsidRPr="007E4AB3" w:rsidRDefault="0074508C" w:rsidP="005528DB">
            <w:pPr>
              <w:numPr>
                <w:ilvl w:val="0"/>
                <w:numId w:val="1"/>
              </w:numPr>
              <w:jc w:val="both"/>
              <w:rPr>
                <w:i/>
                <w:sz w:val="22"/>
              </w:rPr>
            </w:pPr>
            <w:r w:rsidRPr="001A2703">
              <w:rPr>
                <w:i/>
                <w:sz w:val="22"/>
              </w:rPr>
              <w:t>Statutory Audit</w:t>
            </w:r>
          </w:p>
          <w:p w:rsidR="0074508C" w:rsidRDefault="0074508C" w:rsidP="005528DB">
            <w:pPr>
              <w:ind w:left="360"/>
              <w:jc w:val="both"/>
              <w:rPr>
                <w:sz w:val="22"/>
              </w:rPr>
            </w:pPr>
            <w:r>
              <w:rPr>
                <w:sz w:val="22"/>
              </w:rPr>
              <w:t>Swift Securities</w:t>
            </w:r>
            <w:r w:rsidRPr="001A2703">
              <w:rPr>
                <w:sz w:val="22"/>
              </w:rPr>
              <w:t xml:space="preserve"> Group   (Turnover- above Rs.80 </w:t>
            </w:r>
            <w:proofErr w:type="spellStart"/>
            <w:r w:rsidRPr="001A2703">
              <w:rPr>
                <w:sz w:val="22"/>
              </w:rPr>
              <w:t>crores</w:t>
            </w:r>
            <w:proofErr w:type="spellEnd"/>
            <w:r w:rsidRPr="001A2703">
              <w:rPr>
                <w:sz w:val="22"/>
              </w:rPr>
              <w:t xml:space="preserve">)  </w:t>
            </w:r>
          </w:p>
          <w:p w:rsidR="0074508C" w:rsidRPr="001A2703" w:rsidRDefault="0074508C" w:rsidP="005528DB">
            <w:pPr>
              <w:ind w:left="360"/>
              <w:jc w:val="both"/>
              <w:rPr>
                <w:sz w:val="22"/>
              </w:rPr>
            </w:pPr>
            <w:r w:rsidRPr="001A2703">
              <w:rPr>
                <w:sz w:val="22"/>
              </w:rPr>
              <w:t xml:space="preserve"> </w:t>
            </w:r>
          </w:p>
        </w:tc>
      </w:tr>
      <w:tr w:rsidR="0074508C" w:rsidRPr="00BC0057" w:rsidTr="005528DB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0" w:type="auto"/>
          </w:tcPr>
          <w:p w:rsidR="0074508C" w:rsidRPr="00EA6DB3" w:rsidRDefault="0074508C" w:rsidP="005528DB">
            <w:pPr>
              <w:jc w:val="both"/>
              <w:rPr>
                <w:b/>
                <w:sz w:val="22"/>
              </w:rPr>
            </w:pPr>
            <w:r w:rsidRPr="00EA6DB3">
              <w:rPr>
                <w:b/>
                <w:sz w:val="22"/>
              </w:rPr>
              <w:t xml:space="preserve">NGO and Trust Audits </w:t>
            </w:r>
          </w:p>
        </w:tc>
        <w:tc>
          <w:tcPr>
            <w:tcW w:w="5138" w:type="dxa"/>
          </w:tcPr>
          <w:p w:rsidR="0074508C" w:rsidRPr="007E4AB3" w:rsidRDefault="0074508C" w:rsidP="005528DB">
            <w:pPr>
              <w:numPr>
                <w:ilvl w:val="0"/>
                <w:numId w:val="1"/>
              </w:numPr>
              <w:jc w:val="both"/>
              <w:rPr>
                <w:i/>
                <w:sz w:val="22"/>
              </w:rPr>
            </w:pPr>
            <w:r w:rsidRPr="001A2703">
              <w:rPr>
                <w:i/>
                <w:sz w:val="22"/>
              </w:rPr>
              <w:t>Statutory Audit</w:t>
            </w:r>
          </w:p>
          <w:p w:rsidR="0074508C" w:rsidRPr="001A2703" w:rsidRDefault="0074508C" w:rsidP="005528DB">
            <w:pPr>
              <w:ind w:left="360"/>
              <w:jc w:val="both"/>
              <w:rPr>
                <w:sz w:val="22"/>
                <w:szCs w:val="22"/>
              </w:rPr>
            </w:pPr>
            <w:r w:rsidRPr="001A2703">
              <w:rPr>
                <w:sz w:val="22"/>
                <w:szCs w:val="22"/>
              </w:rPr>
              <w:t xml:space="preserve">The Institution of </w:t>
            </w:r>
            <w:r>
              <w:rPr>
                <w:sz w:val="22"/>
                <w:szCs w:val="22"/>
              </w:rPr>
              <w:t>C</w:t>
            </w:r>
            <w:r w:rsidRPr="001A2703">
              <w:rPr>
                <w:sz w:val="22"/>
                <w:szCs w:val="22"/>
              </w:rPr>
              <w:t>ivil Enginee</w:t>
            </w:r>
            <w:r>
              <w:rPr>
                <w:sz w:val="22"/>
                <w:szCs w:val="22"/>
              </w:rPr>
              <w:t>rs (India)</w:t>
            </w:r>
            <w:r>
              <w:rPr>
                <w:sz w:val="22"/>
                <w:szCs w:val="22"/>
              </w:rPr>
              <w:br/>
              <w:t>Indian Institute of T</w:t>
            </w:r>
            <w:r w:rsidRPr="001A2703">
              <w:rPr>
                <w:sz w:val="22"/>
                <w:szCs w:val="22"/>
              </w:rPr>
              <w:t>elecom Management (IITM)</w:t>
            </w:r>
          </w:p>
          <w:p w:rsidR="0074508C" w:rsidRPr="001A2703" w:rsidRDefault="0074508C" w:rsidP="005528DB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74508C" w:rsidRPr="00BC0057" w:rsidTr="005528D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0" w:type="auto"/>
          </w:tcPr>
          <w:p w:rsidR="0074508C" w:rsidRPr="00EA6DB3" w:rsidRDefault="0074508C" w:rsidP="005528DB">
            <w:pPr>
              <w:rPr>
                <w:b/>
                <w:i/>
                <w:sz w:val="22"/>
              </w:rPr>
            </w:pPr>
            <w:r w:rsidRPr="00EA6DB3">
              <w:rPr>
                <w:b/>
                <w:sz w:val="22"/>
              </w:rPr>
              <w:t>Depository Participant</w:t>
            </w:r>
          </w:p>
        </w:tc>
        <w:tc>
          <w:tcPr>
            <w:tcW w:w="5138" w:type="dxa"/>
          </w:tcPr>
          <w:p w:rsidR="0074508C" w:rsidRPr="007E4AB3" w:rsidRDefault="0074508C" w:rsidP="005528DB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r w:rsidRPr="007E4AB3">
              <w:rPr>
                <w:i/>
                <w:sz w:val="22"/>
              </w:rPr>
              <w:t>Internal Audit</w:t>
            </w:r>
          </w:p>
          <w:p w:rsidR="0074508C" w:rsidRPr="001A2703" w:rsidRDefault="0074508C" w:rsidP="005528DB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DSP </w:t>
            </w:r>
            <w:proofErr w:type="spellStart"/>
            <w:r>
              <w:rPr>
                <w:sz w:val="22"/>
                <w:szCs w:val="22"/>
              </w:rPr>
              <w:t>Meryll</w:t>
            </w:r>
            <w:proofErr w:type="spellEnd"/>
            <w:r>
              <w:rPr>
                <w:sz w:val="22"/>
                <w:szCs w:val="22"/>
              </w:rPr>
              <w:t xml:space="preserve"> Lynch </w:t>
            </w:r>
          </w:p>
        </w:tc>
      </w:tr>
      <w:tr w:rsidR="0074508C" w:rsidRPr="00BC0057" w:rsidTr="005528D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0" w:type="auto"/>
          </w:tcPr>
          <w:p w:rsidR="0074508C" w:rsidRPr="00EA6DB3" w:rsidRDefault="0074508C" w:rsidP="005528DB">
            <w:pPr>
              <w:rPr>
                <w:b/>
                <w:sz w:val="22"/>
              </w:rPr>
            </w:pPr>
            <w:r w:rsidRPr="00EA6DB3">
              <w:rPr>
                <w:b/>
                <w:sz w:val="22"/>
              </w:rPr>
              <w:t>Insurance Sector</w:t>
            </w:r>
          </w:p>
        </w:tc>
        <w:tc>
          <w:tcPr>
            <w:tcW w:w="5138" w:type="dxa"/>
          </w:tcPr>
          <w:p w:rsidR="0074508C" w:rsidRDefault="0074508C" w:rsidP="005528DB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Statutory</w:t>
            </w:r>
            <w:r w:rsidRPr="007E4AB3">
              <w:rPr>
                <w:i/>
                <w:sz w:val="22"/>
              </w:rPr>
              <w:t xml:space="preserve"> Audi</w:t>
            </w:r>
            <w:r>
              <w:rPr>
                <w:i/>
                <w:sz w:val="22"/>
              </w:rPr>
              <w:t>t</w:t>
            </w:r>
          </w:p>
          <w:p w:rsidR="0074508C" w:rsidRPr="00F17E8A" w:rsidRDefault="0074508C" w:rsidP="005528DB">
            <w:pPr>
              <w:ind w:left="360"/>
              <w:jc w:val="both"/>
              <w:rPr>
                <w:sz w:val="22"/>
              </w:rPr>
            </w:pPr>
            <w:r w:rsidRPr="00F17E8A">
              <w:rPr>
                <w:sz w:val="22"/>
              </w:rPr>
              <w:t>Oriental Insurance Corp(D.O)</w:t>
            </w:r>
          </w:p>
          <w:p w:rsidR="0074508C" w:rsidRPr="001A2703" w:rsidRDefault="0074508C" w:rsidP="005528DB">
            <w:pPr>
              <w:ind w:left="360"/>
              <w:jc w:val="both"/>
              <w:rPr>
                <w:sz w:val="22"/>
                <w:szCs w:val="22"/>
              </w:rPr>
            </w:pPr>
          </w:p>
        </w:tc>
      </w:tr>
      <w:tr w:rsidR="0074508C" w:rsidRPr="00BC0057" w:rsidTr="005528DB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0" w:type="auto"/>
          </w:tcPr>
          <w:p w:rsidR="0074508C" w:rsidRPr="00EA6DB3" w:rsidRDefault="0074508C" w:rsidP="005528DB">
            <w:pPr>
              <w:rPr>
                <w:b/>
                <w:sz w:val="22"/>
              </w:rPr>
            </w:pPr>
            <w:r w:rsidRPr="00EA6DB3">
              <w:rPr>
                <w:b/>
                <w:sz w:val="22"/>
              </w:rPr>
              <w:t>Transport Companies</w:t>
            </w:r>
          </w:p>
          <w:p w:rsidR="0074508C" w:rsidRDefault="0074508C" w:rsidP="005528DB">
            <w:pPr>
              <w:rPr>
                <w:sz w:val="22"/>
              </w:rPr>
            </w:pPr>
          </w:p>
          <w:p w:rsidR="0074508C" w:rsidRPr="00EA6DB3" w:rsidRDefault="0074508C" w:rsidP="005528DB">
            <w:pPr>
              <w:rPr>
                <w:b/>
                <w:sz w:val="22"/>
              </w:rPr>
            </w:pPr>
            <w:r w:rsidRPr="00EA6DB3">
              <w:rPr>
                <w:b/>
                <w:sz w:val="22"/>
              </w:rPr>
              <w:t>Chemical Manufacturing Companies</w:t>
            </w:r>
          </w:p>
          <w:p w:rsidR="0074508C" w:rsidRDefault="0074508C" w:rsidP="005528DB">
            <w:pPr>
              <w:rPr>
                <w:sz w:val="22"/>
              </w:rPr>
            </w:pPr>
          </w:p>
          <w:p w:rsidR="0074508C" w:rsidRPr="00EA6DB3" w:rsidRDefault="0074508C" w:rsidP="005528DB">
            <w:pPr>
              <w:rPr>
                <w:b/>
                <w:i/>
                <w:sz w:val="22"/>
              </w:rPr>
            </w:pPr>
            <w:r w:rsidRPr="00EA6DB3">
              <w:rPr>
                <w:b/>
                <w:sz w:val="22"/>
              </w:rPr>
              <w:t xml:space="preserve">Trading Companies    </w:t>
            </w:r>
          </w:p>
        </w:tc>
        <w:tc>
          <w:tcPr>
            <w:tcW w:w="5138" w:type="dxa"/>
          </w:tcPr>
          <w:p w:rsidR="0074508C" w:rsidRDefault="0074508C" w:rsidP="005528DB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r w:rsidRPr="001A2703">
              <w:rPr>
                <w:sz w:val="22"/>
              </w:rPr>
              <w:t xml:space="preserve"> </w:t>
            </w:r>
            <w:r w:rsidRPr="007E4AB3">
              <w:rPr>
                <w:i/>
                <w:sz w:val="22"/>
              </w:rPr>
              <w:t>Tax Audit</w:t>
            </w:r>
          </w:p>
          <w:p w:rsidR="0074508C" w:rsidRDefault="0074508C" w:rsidP="005528DB">
            <w:pPr>
              <w:numPr>
                <w:ilvl w:val="0"/>
                <w:numId w:val="3"/>
              </w:numPr>
              <w:ind w:left="369" w:hanging="18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Sikand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Standley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Pvt</w:t>
            </w:r>
            <w:proofErr w:type="spellEnd"/>
            <w:r>
              <w:rPr>
                <w:sz w:val="22"/>
              </w:rPr>
              <w:t xml:space="preserve"> Ltd(BG Products)</w:t>
            </w:r>
          </w:p>
          <w:p w:rsidR="0074508C" w:rsidRDefault="0074508C" w:rsidP="005528DB">
            <w:pPr>
              <w:ind w:left="360"/>
              <w:jc w:val="both"/>
              <w:rPr>
                <w:sz w:val="22"/>
              </w:rPr>
            </w:pPr>
            <w:r>
              <w:rPr>
                <w:sz w:val="22"/>
              </w:rPr>
              <w:t>Turnover:</w:t>
            </w:r>
            <w:r>
              <w:rPr>
                <w:sz w:val="22"/>
              </w:rPr>
              <w:t xml:space="preserve"> INR </w:t>
            </w:r>
            <w:r>
              <w:rPr>
                <w:sz w:val="22"/>
              </w:rPr>
              <w:t>24 Cr(</w:t>
            </w:r>
            <w:proofErr w:type="spellStart"/>
            <w:r>
              <w:rPr>
                <w:sz w:val="22"/>
              </w:rPr>
              <w:t>Approx</w:t>
            </w:r>
            <w:proofErr w:type="spellEnd"/>
            <w:r>
              <w:rPr>
                <w:sz w:val="22"/>
              </w:rPr>
              <w:t>)</w:t>
            </w:r>
          </w:p>
          <w:p w:rsidR="0074508C" w:rsidRDefault="0074508C" w:rsidP="005528DB">
            <w:pPr>
              <w:numPr>
                <w:ilvl w:val="0"/>
                <w:numId w:val="3"/>
              </w:numPr>
              <w:ind w:left="369" w:hanging="180"/>
              <w:jc w:val="both"/>
              <w:rPr>
                <w:sz w:val="22"/>
              </w:rPr>
            </w:pPr>
            <w:r>
              <w:rPr>
                <w:sz w:val="22"/>
              </w:rPr>
              <w:t>Chemical Centre(India)</w:t>
            </w:r>
          </w:p>
          <w:p w:rsidR="0074508C" w:rsidRPr="00E9613A" w:rsidRDefault="0074508C" w:rsidP="005528DB">
            <w:pPr>
              <w:ind w:left="360"/>
              <w:jc w:val="both"/>
              <w:rPr>
                <w:sz w:val="22"/>
              </w:rPr>
            </w:pPr>
            <w:r>
              <w:rPr>
                <w:sz w:val="22"/>
              </w:rPr>
              <w:t>Turnover:</w:t>
            </w:r>
            <w:r>
              <w:rPr>
                <w:sz w:val="22"/>
              </w:rPr>
              <w:t xml:space="preserve"> INR </w:t>
            </w:r>
            <w:r>
              <w:rPr>
                <w:sz w:val="22"/>
              </w:rPr>
              <w:t>14 Cr(</w:t>
            </w:r>
            <w:proofErr w:type="spellStart"/>
            <w:r>
              <w:rPr>
                <w:sz w:val="22"/>
              </w:rPr>
              <w:t>Approx</w:t>
            </w:r>
            <w:proofErr w:type="spellEnd"/>
            <w:r>
              <w:rPr>
                <w:sz w:val="22"/>
              </w:rPr>
              <w:t>)</w:t>
            </w:r>
          </w:p>
          <w:p w:rsidR="005528DB" w:rsidRPr="001A2703" w:rsidRDefault="0074508C" w:rsidP="005528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</w:tc>
      </w:tr>
    </w:tbl>
    <w:p w:rsidR="005528DB" w:rsidRDefault="005528DB" w:rsidP="0074508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9B2DF5" w:rsidRPr="0074508C" w:rsidRDefault="0074508C" w:rsidP="0074508C">
      <w:pPr>
        <w:jc w:val="center"/>
        <w:rPr>
          <w:b/>
          <w:sz w:val="28"/>
          <w:szCs w:val="28"/>
          <w:u w:val="single"/>
        </w:rPr>
      </w:pPr>
      <w:r w:rsidRPr="0074508C">
        <w:rPr>
          <w:b/>
          <w:sz w:val="28"/>
          <w:szCs w:val="28"/>
          <w:u w:val="single"/>
        </w:rPr>
        <w:t>LIST OF AUDITS PERFORMED</w:t>
      </w:r>
    </w:p>
    <w:p w:rsidR="0074508C" w:rsidRDefault="0074508C" w:rsidP="0074508C">
      <w:pPr>
        <w:jc w:val="center"/>
        <w:rPr>
          <w:b/>
          <w:sz w:val="28"/>
          <w:szCs w:val="28"/>
          <w:u w:val="single"/>
        </w:rPr>
      </w:pPr>
      <w:r w:rsidRPr="0074508C">
        <w:rPr>
          <w:b/>
          <w:sz w:val="28"/>
          <w:szCs w:val="28"/>
          <w:u w:val="single"/>
        </w:rPr>
        <w:t>(DURING INTERNSHIP 2007-2011)</w:t>
      </w:r>
    </w:p>
    <w:p w:rsidR="005528DB" w:rsidRDefault="005528DB" w:rsidP="0074508C">
      <w:pPr>
        <w:jc w:val="center"/>
        <w:rPr>
          <w:b/>
          <w:sz w:val="28"/>
          <w:szCs w:val="28"/>
          <w:u w:val="single"/>
        </w:rPr>
      </w:pPr>
    </w:p>
    <w:p w:rsidR="005528DB" w:rsidRPr="0074508C" w:rsidRDefault="005528DB" w:rsidP="0074508C">
      <w:pPr>
        <w:jc w:val="center"/>
        <w:rPr>
          <w:b/>
          <w:sz w:val="28"/>
          <w:szCs w:val="28"/>
          <w:u w:val="single"/>
        </w:rPr>
      </w:pPr>
    </w:p>
    <w:sectPr w:rsidR="005528DB" w:rsidRPr="0074508C" w:rsidSect="005528DB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13" w:rsidRDefault="00680813" w:rsidP="005528DB">
      <w:r>
        <w:separator/>
      </w:r>
    </w:p>
  </w:endnote>
  <w:endnote w:type="continuationSeparator" w:id="0">
    <w:p w:rsidR="00680813" w:rsidRDefault="00680813" w:rsidP="0055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13" w:rsidRDefault="00680813" w:rsidP="005528DB">
      <w:r>
        <w:separator/>
      </w:r>
    </w:p>
  </w:footnote>
  <w:footnote w:type="continuationSeparator" w:id="0">
    <w:p w:rsidR="00680813" w:rsidRDefault="00680813" w:rsidP="0055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2834"/>
    <w:multiLevelType w:val="singleLevel"/>
    <w:tmpl w:val="0D745E60"/>
    <w:lvl w:ilvl="0">
      <w:start w:val="1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23324FF"/>
    <w:multiLevelType w:val="singleLevel"/>
    <w:tmpl w:val="0D745E60"/>
    <w:lvl w:ilvl="0">
      <w:start w:val="1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03D5BDE"/>
    <w:multiLevelType w:val="hybridMultilevel"/>
    <w:tmpl w:val="CD9C9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30"/>
    <w:rsid w:val="00132430"/>
    <w:rsid w:val="003B4770"/>
    <w:rsid w:val="005528DB"/>
    <w:rsid w:val="00680813"/>
    <w:rsid w:val="0074508C"/>
    <w:rsid w:val="009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4508C"/>
    <w:pPr>
      <w:keepNext/>
      <w:jc w:val="center"/>
      <w:outlineLvl w:val="4"/>
    </w:pPr>
    <w:rPr>
      <w:i/>
      <w:i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4508C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74508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4508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8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8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8D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74508C"/>
    <w:pPr>
      <w:keepNext/>
      <w:jc w:val="center"/>
      <w:outlineLvl w:val="4"/>
    </w:pPr>
    <w:rPr>
      <w:i/>
      <w:i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4508C"/>
    <w:rPr>
      <w:rFonts w:ascii="Times New Roman" w:eastAsia="Times New Roman" w:hAnsi="Times New Roman" w:cs="Times New Roman"/>
      <w:i/>
      <w:iCs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74508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4508C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08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8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8D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</dc:creator>
  <cp:keywords/>
  <dc:description/>
  <cp:lastModifiedBy>Aman</cp:lastModifiedBy>
  <cp:revision>2</cp:revision>
  <dcterms:created xsi:type="dcterms:W3CDTF">2011-11-01T14:06:00Z</dcterms:created>
  <dcterms:modified xsi:type="dcterms:W3CDTF">2011-11-01T14:36:00Z</dcterms:modified>
</cp:coreProperties>
</file>