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96" w:rsidRPr="00024F5D" w:rsidRDefault="00AE6E25">
      <w:pPr>
        <w:rPr>
          <w:sz w:val="24"/>
        </w:rPr>
      </w:pPr>
      <w:r w:rsidRPr="00024F5D">
        <w:rPr>
          <w:sz w:val="24"/>
        </w:rPr>
        <w:t>Jessica Fisher</w:t>
      </w:r>
    </w:p>
    <w:p w:rsidR="00AE6E25" w:rsidRPr="00024F5D" w:rsidRDefault="00AE6E25">
      <w:pPr>
        <w:rPr>
          <w:sz w:val="24"/>
        </w:rPr>
      </w:pPr>
      <w:r w:rsidRPr="00024F5D">
        <w:rPr>
          <w:sz w:val="24"/>
        </w:rPr>
        <w:t>December 7, 2011</w:t>
      </w:r>
    </w:p>
    <w:p w:rsidR="00AE6E25" w:rsidRPr="00024F5D" w:rsidRDefault="00AE6E25">
      <w:pPr>
        <w:rPr>
          <w:sz w:val="24"/>
        </w:rPr>
      </w:pPr>
      <w:r w:rsidRPr="00024F5D">
        <w:rPr>
          <w:sz w:val="24"/>
        </w:rPr>
        <w:t>BUS 115</w:t>
      </w:r>
    </w:p>
    <w:p w:rsidR="00AE6E25" w:rsidRPr="00024F5D" w:rsidRDefault="00AE6E25">
      <w:pPr>
        <w:rPr>
          <w:sz w:val="24"/>
        </w:rPr>
      </w:pPr>
      <w:r w:rsidRPr="00024F5D">
        <w:rPr>
          <w:sz w:val="24"/>
        </w:rPr>
        <w:t>Egan</w:t>
      </w:r>
    </w:p>
    <w:tbl>
      <w:tblPr>
        <w:tblStyle w:val="MediumGrid2-Accent6"/>
        <w:tblW w:w="0" w:type="auto"/>
        <w:tblLayout w:type="fixed"/>
        <w:tblLook w:val="04A0" w:firstRow="1" w:lastRow="0" w:firstColumn="1" w:lastColumn="0" w:noHBand="0" w:noVBand="1"/>
      </w:tblPr>
      <w:tblGrid>
        <w:gridCol w:w="1197"/>
        <w:gridCol w:w="2241"/>
        <w:gridCol w:w="810"/>
        <w:gridCol w:w="1432"/>
        <w:gridCol w:w="1702"/>
        <w:gridCol w:w="1702"/>
      </w:tblGrid>
      <w:tr w:rsidR="00B158DD" w:rsidRPr="008A5F78" w:rsidTr="005B73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7" w:type="dxa"/>
          </w:tcPr>
          <w:p w:rsidR="00B158DD" w:rsidRPr="008A5F78" w:rsidRDefault="00B158DD" w:rsidP="008A5F78">
            <w:pPr>
              <w:jc w:val="center"/>
              <w:rPr>
                <w:b w:val="0"/>
                <w:sz w:val="24"/>
              </w:rPr>
            </w:pPr>
            <w:r w:rsidRPr="008A5F78">
              <w:rPr>
                <w:b w:val="0"/>
                <w:sz w:val="24"/>
              </w:rPr>
              <w:t>Symbol</w:t>
            </w:r>
          </w:p>
        </w:tc>
        <w:tc>
          <w:tcPr>
            <w:tcW w:w="2241" w:type="dxa"/>
          </w:tcPr>
          <w:p w:rsidR="00B158DD" w:rsidRPr="008A5F78" w:rsidRDefault="00B158DD" w:rsidP="008A5F7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Transaction </w:t>
            </w:r>
            <w:r w:rsidRPr="008A5F78">
              <w:rPr>
                <w:b w:val="0"/>
                <w:sz w:val="24"/>
              </w:rPr>
              <w:t>Date</w:t>
            </w:r>
          </w:p>
        </w:tc>
        <w:tc>
          <w:tcPr>
            <w:tcW w:w="810" w:type="dxa"/>
          </w:tcPr>
          <w:p w:rsidR="00B158DD" w:rsidRPr="008A5F78" w:rsidRDefault="00B158DD" w:rsidP="008A5F78">
            <w:pPr>
              <w:jc w:val="center"/>
              <w:cnfStyle w:val="100000000000" w:firstRow="1" w:lastRow="0" w:firstColumn="0" w:lastColumn="0" w:oddVBand="0" w:evenVBand="0" w:oddHBand="0" w:evenHBand="0" w:firstRowFirstColumn="0" w:firstRowLastColumn="0" w:lastRowFirstColumn="0" w:lastRowLastColumn="0"/>
              <w:rPr>
                <w:b w:val="0"/>
                <w:sz w:val="24"/>
              </w:rPr>
            </w:pPr>
            <w:r w:rsidRPr="008A5F78">
              <w:rPr>
                <w:b w:val="0"/>
                <w:sz w:val="24"/>
              </w:rPr>
              <w:t>Type</w:t>
            </w:r>
          </w:p>
        </w:tc>
        <w:tc>
          <w:tcPr>
            <w:tcW w:w="1432" w:type="dxa"/>
          </w:tcPr>
          <w:p w:rsidR="00B158DD" w:rsidRPr="008A5F78" w:rsidRDefault="00B158DD" w:rsidP="008A5F78">
            <w:pPr>
              <w:jc w:val="center"/>
              <w:cnfStyle w:val="100000000000" w:firstRow="1" w:lastRow="0" w:firstColumn="0" w:lastColumn="0" w:oddVBand="0" w:evenVBand="0" w:oddHBand="0" w:evenHBand="0" w:firstRowFirstColumn="0" w:firstRowLastColumn="0" w:lastRowFirstColumn="0" w:lastRowLastColumn="0"/>
              <w:rPr>
                <w:b w:val="0"/>
                <w:sz w:val="24"/>
              </w:rPr>
            </w:pPr>
            <w:r w:rsidRPr="008A5F78">
              <w:rPr>
                <w:b w:val="0"/>
                <w:sz w:val="24"/>
              </w:rPr>
              <w:t># of Shares</w:t>
            </w:r>
          </w:p>
        </w:tc>
        <w:tc>
          <w:tcPr>
            <w:tcW w:w="1702" w:type="dxa"/>
          </w:tcPr>
          <w:p w:rsidR="00B158DD" w:rsidRPr="008A5F78" w:rsidRDefault="00B158DD" w:rsidP="008A5F78">
            <w:pPr>
              <w:jc w:val="center"/>
              <w:cnfStyle w:val="100000000000" w:firstRow="1" w:lastRow="0" w:firstColumn="0" w:lastColumn="0" w:oddVBand="0" w:evenVBand="0" w:oddHBand="0" w:evenHBand="0" w:firstRowFirstColumn="0" w:firstRowLastColumn="0" w:lastRowFirstColumn="0" w:lastRowLastColumn="0"/>
              <w:rPr>
                <w:b w:val="0"/>
                <w:sz w:val="24"/>
              </w:rPr>
            </w:pPr>
            <w:r w:rsidRPr="008A5F78">
              <w:rPr>
                <w:b w:val="0"/>
                <w:sz w:val="24"/>
              </w:rPr>
              <w:t>Share Price</w:t>
            </w:r>
          </w:p>
        </w:tc>
        <w:tc>
          <w:tcPr>
            <w:tcW w:w="1702" w:type="dxa"/>
          </w:tcPr>
          <w:p w:rsidR="00B158DD" w:rsidRPr="008A5F78" w:rsidRDefault="00B158DD" w:rsidP="008A5F7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Investment?*</w:t>
            </w: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9" w:history="1">
              <w:r w:rsidR="00B158DD" w:rsidRPr="008A5F78">
                <w:rPr>
                  <w:rStyle w:val="Hyperlink"/>
                </w:rPr>
                <w:t>ASGN</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11/3/11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992</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$10.52</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Stock</w:t>
            </w: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0" w:history="1">
              <w:r w:rsidR="00B158DD" w:rsidRPr="008A5F78">
                <w:rPr>
                  <w:rStyle w:val="Hyperlink"/>
                </w:rPr>
                <w:t>CFMOX</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11/1/11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Buy</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835</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$19.76</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r>
              <w:t>Bond</w:t>
            </w: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1" w:history="1">
              <w:r w:rsidR="00B158DD" w:rsidRPr="008A5F78">
                <w:rPr>
                  <w:rStyle w:val="Hyperlink"/>
                </w:rPr>
                <w:t>CVS</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308</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$35.59</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Stock</w:t>
            </w: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2" w:history="1">
              <w:r w:rsidR="00B158DD" w:rsidRPr="008A5F78">
                <w:rPr>
                  <w:rStyle w:val="Hyperlink"/>
                </w:rPr>
                <w:t>DIS</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11/11/11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Buy</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248</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$36.81</w:t>
            </w:r>
          </w:p>
        </w:tc>
        <w:tc>
          <w:tcPr>
            <w:tcW w:w="1702" w:type="dxa"/>
          </w:tcPr>
          <w:p w:rsidR="00B158DD" w:rsidRPr="008A5F78" w:rsidRDefault="00B158DD" w:rsidP="00B158DD">
            <w:pPr>
              <w:jc w:val="center"/>
              <w:cnfStyle w:val="000000000000" w:firstRow="0" w:lastRow="0" w:firstColumn="0" w:lastColumn="0" w:oddVBand="0" w:evenVBand="0" w:oddHBand="0" w:evenHBand="0" w:firstRowFirstColumn="0" w:firstRowLastColumn="0" w:lastRowFirstColumn="0" w:lastRowLastColumn="0"/>
            </w:pPr>
            <w:r>
              <w:t>Stock</w:t>
            </w: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3" w:history="1">
              <w:r w:rsidR="00B158DD" w:rsidRPr="008A5F78">
                <w:rPr>
                  <w:rStyle w:val="Hyperlink"/>
                </w:rPr>
                <w:t>ERIC</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11/10/11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Sell</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1257</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$9.99</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4" w:history="1">
              <w:r w:rsidR="00B158DD" w:rsidRPr="008A5F78">
                <w:rPr>
                  <w:rStyle w:val="Hyperlink"/>
                </w:rPr>
                <w:t>ERIC</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11/3/11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Buy</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1257</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$10.75</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5" w:history="1">
              <w:r w:rsidR="00B158DD" w:rsidRPr="008A5F78">
                <w:rPr>
                  <w:rStyle w:val="Hyperlink"/>
                </w:rPr>
                <w:t>FE</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245</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$44.78</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Stock</w:t>
            </w: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6" w:history="1">
              <w:r w:rsidR="00B158DD" w:rsidRPr="008A5F78">
                <w:rPr>
                  <w:rStyle w:val="Hyperlink"/>
                </w:rPr>
                <w:t>FISN</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11/8/11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Sell</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335</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$11.48</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7" w:history="1">
              <w:r w:rsidR="00B158DD" w:rsidRPr="008A5F78">
                <w:rPr>
                  <w:rStyle w:val="Hyperlink"/>
                </w:rPr>
                <w:t>FISN</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11/3/11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335</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$11.48</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8" w:history="1">
              <w:r w:rsidR="00B158DD" w:rsidRPr="008A5F78">
                <w:rPr>
                  <w:rStyle w:val="Hyperlink"/>
                </w:rPr>
                <w:t>GE</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12/1/11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Sell</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151</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$15.90</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19" w:history="1">
              <w:r w:rsidR="00B158DD" w:rsidRPr="008A5F78">
                <w:rPr>
                  <w:rStyle w:val="Hyperlink"/>
                </w:rPr>
                <w:t>GE</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151</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$16.17</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0" w:history="1">
              <w:r w:rsidR="00B158DD" w:rsidRPr="008A5F78">
                <w:rPr>
                  <w:rStyle w:val="Hyperlink"/>
                </w:rPr>
                <w:t>JEIBX</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11/3/11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Buy</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1262</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$12.41</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r>
              <w:t>Mutual Fund</w:t>
            </w: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1" w:history="1">
              <w:r w:rsidR="00B158DD" w:rsidRPr="008A5F78">
                <w:rPr>
                  <w:rStyle w:val="Hyperlink"/>
                </w:rPr>
                <w:t>JHGIX</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497</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$9.84</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Mutual Fund</w:t>
            </w: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2" w:history="1">
              <w:r w:rsidR="00B158DD" w:rsidRPr="008A5F78">
                <w:rPr>
                  <w:rStyle w:val="Hyperlink"/>
                </w:rPr>
                <w:t>JWN</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11/10/11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Buy</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270</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$49.53</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r>
              <w:t>Stock</w:t>
            </w: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3" w:history="1">
              <w:r w:rsidR="00B158DD" w:rsidRPr="008A5F78">
                <w:rPr>
                  <w:rStyle w:val="Hyperlink"/>
                </w:rPr>
                <w:t>RJET</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11/8/11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720</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$4.27</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Stock</w:t>
            </w:r>
          </w:p>
        </w:tc>
      </w:tr>
      <w:tr w:rsidR="00B158DD" w:rsidRPr="008A5F78" w:rsidTr="005B7365">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4" w:history="1">
              <w:r w:rsidR="00B158DD" w:rsidRPr="008A5F78">
                <w:rPr>
                  <w:rStyle w:val="Hyperlink"/>
                </w:rPr>
                <w:t>SLE</w:t>
              </w:r>
            </w:hyperlink>
          </w:p>
        </w:tc>
        <w:tc>
          <w:tcPr>
            <w:tcW w:w="2241"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11/10/11</w:t>
            </w:r>
          </w:p>
        </w:tc>
        <w:tc>
          <w:tcPr>
            <w:tcW w:w="810"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Sell</w:t>
            </w:r>
          </w:p>
        </w:tc>
        <w:tc>
          <w:tcPr>
            <w:tcW w:w="1432" w:type="dxa"/>
          </w:tcPr>
          <w:p w:rsidR="00B158DD" w:rsidRPr="008A5F78" w:rsidRDefault="00B158DD" w:rsidP="00A2646F">
            <w:pPr>
              <w:cnfStyle w:val="000000000000" w:firstRow="0" w:lastRow="0" w:firstColumn="0" w:lastColumn="0" w:oddVBand="0" w:evenVBand="0" w:oddHBand="0" w:evenHBand="0" w:firstRowFirstColumn="0" w:firstRowLastColumn="0" w:lastRowFirstColumn="0" w:lastRowLastColumn="0"/>
            </w:pPr>
            <w:r w:rsidRPr="008A5F78">
              <w:t>494</w:t>
            </w:r>
          </w:p>
        </w:tc>
        <w:tc>
          <w:tcPr>
            <w:tcW w:w="1702" w:type="dxa"/>
          </w:tcPr>
          <w:p w:rsidR="00B158DD" w:rsidRPr="008A5F78" w:rsidRDefault="00B158DD" w:rsidP="008A5F78">
            <w:pPr>
              <w:jc w:val="right"/>
              <w:cnfStyle w:val="000000000000" w:firstRow="0" w:lastRow="0" w:firstColumn="0" w:lastColumn="0" w:oddVBand="0" w:evenVBand="0" w:oddHBand="0" w:evenHBand="0" w:firstRowFirstColumn="0" w:firstRowLastColumn="0" w:lastRowFirstColumn="0" w:lastRowLastColumn="0"/>
            </w:pPr>
            <w:r w:rsidRPr="008A5F78">
              <w:t>$18.36</w:t>
            </w:r>
          </w:p>
        </w:tc>
        <w:tc>
          <w:tcPr>
            <w:tcW w:w="1702" w:type="dxa"/>
          </w:tcPr>
          <w:p w:rsidR="00B158DD" w:rsidRPr="008A5F78" w:rsidRDefault="00B158DD" w:rsidP="005B7365">
            <w:pPr>
              <w:jc w:val="center"/>
              <w:cnfStyle w:val="000000000000" w:firstRow="0" w:lastRow="0" w:firstColumn="0" w:lastColumn="0" w:oddVBand="0" w:evenVBand="0" w:oddHBand="0" w:evenHBand="0" w:firstRowFirstColumn="0" w:firstRowLastColumn="0" w:lastRowFirstColumn="0" w:lastRowLastColumn="0"/>
            </w:pPr>
          </w:p>
        </w:tc>
      </w:tr>
      <w:tr w:rsidR="00B158DD" w:rsidRPr="008A5F78" w:rsidTr="005B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194049" w:rsidP="00A2646F">
            <w:hyperlink r:id="rId25" w:history="1">
              <w:r w:rsidR="00B158DD" w:rsidRPr="008A5F78">
                <w:rPr>
                  <w:rStyle w:val="Hyperlink"/>
                </w:rPr>
                <w:t>THC</w:t>
              </w:r>
            </w:hyperlink>
          </w:p>
        </w:tc>
        <w:tc>
          <w:tcPr>
            <w:tcW w:w="2241"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11/1/11</w:t>
            </w:r>
          </w:p>
        </w:tc>
        <w:tc>
          <w:tcPr>
            <w:tcW w:w="810"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Buy</w:t>
            </w:r>
          </w:p>
        </w:tc>
        <w:tc>
          <w:tcPr>
            <w:tcW w:w="1432" w:type="dxa"/>
          </w:tcPr>
          <w:p w:rsidR="00B158DD" w:rsidRPr="008A5F78" w:rsidRDefault="00B158DD" w:rsidP="00A2646F">
            <w:pPr>
              <w:cnfStyle w:val="000000100000" w:firstRow="0" w:lastRow="0" w:firstColumn="0" w:lastColumn="0" w:oddVBand="0" w:evenVBand="0" w:oddHBand="1" w:evenHBand="0" w:firstRowFirstColumn="0" w:firstRowLastColumn="0" w:lastRowFirstColumn="0" w:lastRowLastColumn="0"/>
            </w:pPr>
            <w:r w:rsidRPr="008A5F78">
              <w:t>505</w:t>
            </w:r>
          </w:p>
        </w:tc>
        <w:tc>
          <w:tcPr>
            <w:tcW w:w="1702" w:type="dxa"/>
          </w:tcPr>
          <w:p w:rsidR="00B158DD" w:rsidRPr="008A5F78" w:rsidRDefault="00B158DD" w:rsidP="008A5F78">
            <w:pPr>
              <w:jc w:val="right"/>
              <w:cnfStyle w:val="000000100000" w:firstRow="0" w:lastRow="0" w:firstColumn="0" w:lastColumn="0" w:oddVBand="0" w:evenVBand="0" w:oddHBand="1" w:evenHBand="0" w:firstRowFirstColumn="0" w:firstRowLastColumn="0" w:lastRowFirstColumn="0" w:lastRowLastColumn="0"/>
            </w:pPr>
            <w:r w:rsidRPr="008A5F78">
              <w:t>$4.82</w:t>
            </w:r>
          </w:p>
        </w:tc>
        <w:tc>
          <w:tcPr>
            <w:tcW w:w="1702" w:type="dxa"/>
          </w:tcPr>
          <w:p w:rsidR="00B158DD" w:rsidRPr="008A5F78" w:rsidRDefault="00B158DD" w:rsidP="005B7365">
            <w:pPr>
              <w:jc w:val="center"/>
              <w:cnfStyle w:val="000000100000" w:firstRow="0" w:lastRow="0" w:firstColumn="0" w:lastColumn="0" w:oddVBand="0" w:evenVBand="0" w:oddHBand="1" w:evenHBand="0" w:firstRowFirstColumn="0" w:firstRowLastColumn="0" w:lastRowFirstColumn="0" w:lastRowLastColumn="0"/>
            </w:pPr>
            <w:r>
              <w:t>Stock</w:t>
            </w:r>
          </w:p>
        </w:tc>
      </w:tr>
      <w:tr w:rsidR="00B158DD" w:rsidRPr="008A5F78" w:rsidTr="00A2646F">
        <w:tc>
          <w:tcPr>
            <w:cnfStyle w:val="001000000000" w:firstRow="0" w:lastRow="0" w:firstColumn="1" w:lastColumn="0" w:oddVBand="0" w:evenVBand="0" w:oddHBand="0" w:evenHBand="0" w:firstRowFirstColumn="0" w:firstRowLastColumn="0" w:lastRowFirstColumn="0" w:lastRowLastColumn="0"/>
            <w:tcW w:w="1197" w:type="dxa"/>
          </w:tcPr>
          <w:p w:rsidR="00B158DD" w:rsidRPr="008A5F78" w:rsidRDefault="00B158DD" w:rsidP="00A2646F"/>
        </w:tc>
        <w:tc>
          <w:tcPr>
            <w:tcW w:w="7887" w:type="dxa"/>
            <w:gridSpan w:val="5"/>
          </w:tcPr>
          <w:p w:rsidR="00B158DD" w:rsidRPr="00B158DD" w:rsidRDefault="00B158DD" w:rsidP="00B158DD">
            <w:pPr>
              <w:cnfStyle w:val="000000000000" w:firstRow="0" w:lastRow="0" w:firstColumn="0" w:lastColumn="0" w:oddVBand="0" w:evenVBand="0" w:oddHBand="0" w:evenHBand="0" w:firstRowFirstColumn="0" w:firstRowLastColumn="0" w:lastRowFirstColumn="0" w:lastRowLastColumn="0"/>
            </w:pPr>
            <w:r>
              <w:t>*If held at end of project.</w:t>
            </w:r>
          </w:p>
        </w:tc>
      </w:tr>
    </w:tbl>
    <w:p w:rsidR="00AE6E25" w:rsidRDefault="00AE6E25" w:rsidP="008A5F78"/>
    <w:p w:rsidR="00915DDD" w:rsidRDefault="00915DDD" w:rsidP="00277F2D">
      <w:pPr>
        <w:pStyle w:val="Heading1"/>
        <w:spacing w:line="480" w:lineRule="auto"/>
      </w:pPr>
      <w:r>
        <w:t>Investment Strategy</w:t>
      </w:r>
    </w:p>
    <w:p w:rsidR="00635C11" w:rsidRDefault="006C396C" w:rsidP="00BC64AC">
      <w:pPr>
        <w:spacing w:line="480" w:lineRule="auto"/>
        <w:ind w:firstLine="720"/>
      </w:pPr>
      <w:r>
        <w:t xml:space="preserve">My beginning strategy consisted of typing my favorite letters in the search bar and choosing the names of the companies I liked best. I chose eight or so this way. When I completed that step, I went to my portfolio to determine if it was diversified. I realized I didn’t have a bond. I chose a local Missouri bond because I wasn’t sure what else to choose. I am pleased to tell you that it was a good choice and has increased in value. </w:t>
      </w:r>
    </w:p>
    <w:p w:rsidR="00915DDD" w:rsidRDefault="00635C11" w:rsidP="00BC64AC">
      <w:pPr>
        <w:spacing w:line="480" w:lineRule="auto"/>
        <w:ind w:firstLine="720"/>
      </w:pPr>
      <w:r>
        <w:t xml:space="preserve">My ending strategy was vastly different. In the middle of the project, I realized that I would need to </w:t>
      </w:r>
      <w:r w:rsidR="00F13DC0">
        <w:t xml:space="preserve">sell </w:t>
      </w:r>
      <w:r>
        <w:t>some stocks</w:t>
      </w:r>
      <w:r w:rsidR="00F13DC0">
        <w:t xml:space="preserve"> and buy different ones</w:t>
      </w:r>
      <w:r>
        <w:t xml:space="preserve">, both to fulfill the assignment and to </w:t>
      </w:r>
      <w:r>
        <w:lastRenderedPageBreak/>
        <w:t>maintain a decent ranking.</w:t>
      </w:r>
      <w:r w:rsidR="006C396C">
        <w:t xml:space="preserve"> </w:t>
      </w:r>
      <w:r w:rsidR="00B02323">
        <w:t xml:space="preserve">In order to choose the ones I sold, I looked at my investments over the period of time I held them. If they were consistently </w:t>
      </w:r>
      <w:r w:rsidR="00B53F51">
        <w:t>falling</w:t>
      </w:r>
      <w:r w:rsidR="00B02323">
        <w:t xml:space="preserve">, like Sara Lee (SLE), I decided to sell them. </w:t>
      </w:r>
      <w:r w:rsidR="00B53F51">
        <w:t>My mutual funds I held for the whole project because I wanted to see the difference between holding mutual funds for a longer term versus the stocks. Both of my mutual funds were steady and capable of maintaining their value within a dollar each way.</w:t>
      </w:r>
      <w:r w:rsidR="00FA4B3B">
        <w:t xml:space="preserve"> The only stock I held that consistently increased in value was CVS. </w:t>
      </w:r>
    </w:p>
    <w:p w:rsidR="00FA4B3B" w:rsidRDefault="00FA4B3B" w:rsidP="00BC64AC">
      <w:pPr>
        <w:spacing w:line="480" w:lineRule="auto"/>
        <w:ind w:firstLine="720"/>
      </w:pPr>
      <w:r>
        <w:t>I read and researched a little for my investments, but not nearly as much as I would if I were using my own money. If I were investing my own money, I would probably use Warren Buffet’s style of investing. It is based on a lot of research, speculation, and formulas. It also sounds very time intensive</w:t>
      </w:r>
      <w:r w:rsidR="004E0829">
        <w:t>, if done properly.</w:t>
      </w:r>
    </w:p>
    <w:p w:rsidR="00C9417B" w:rsidRDefault="00C9417B" w:rsidP="00277F2D">
      <w:pPr>
        <w:pStyle w:val="Heading1"/>
        <w:spacing w:line="480" w:lineRule="auto"/>
      </w:pPr>
      <w:r>
        <w:t>My Investments</w:t>
      </w:r>
    </w:p>
    <w:p w:rsidR="00C9417B" w:rsidRDefault="00C9417B" w:rsidP="00277F2D">
      <w:pPr>
        <w:pStyle w:val="Heading2"/>
        <w:spacing w:line="480" w:lineRule="auto"/>
      </w:pPr>
      <w:r>
        <w:t>On Assignment, Inc. (ASGN)</w:t>
      </w:r>
    </w:p>
    <w:p w:rsidR="00C9417B" w:rsidRDefault="00C9417B" w:rsidP="00BC64AC">
      <w:pPr>
        <w:spacing w:line="480" w:lineRule="auto"/>
        <w:ind w:firstLine="720"/>
      </w:pPr>
      <w:r>
        <w:t>On Assignment, Inc. is a job placement agency. With unemployment rates being so high, I decided that this would be a good investing opportunity.</w:t>
      </w:r>
      <w:r w:rsidR="00A3743C">
        <w:t xml:space="preserve"> While it wasn’t bad, it wasn’t great either. </w:t>
      </w:r>
      <w:r w:rsidR="00AF5D86">
        <w:t xml:space="preserve"> According to Market Watch, it does stay very consistent with the actual employment rate over the long term. If this were a longer project, I probably would have seen more benefits from it.</w:t>
      </w:r>
      <w:r w:rsidR="004E0829">
        <w:t xml:space="preserve"> This stock has no dividends.</w:t>
      </w:r>
    </w:p>
    <w:p w:rsidR="00D03D96" w:rsidRDefault="00D03D96" w:rsidP="00277F2D">
      <w:pPr>
        <w:pStyle w:val="Heading2"/>
        <w:spacing w:line="480" w:lineRule="auto"/>
      </w:pPr>
      <w:r>
        <w:t>Commerce Funds Missouri Tax-Free Bond (CFMOX)</w:t>
      </w:r>
    </w:p>
    <w:p w:rsidR="00B84F0C" w:rsidRDefault="00B84F0C" w:rsidP="00BC64AC">
      <w:pPr>
        <w:spacing w:line="480" w:lineRule="auto"/>
        <w:ind w:firstLine="720"/>
      </w:pPr>
      <w:r>
        <w:t xml:space="preserve">CFMOX is the only bond in my portfolio. As previously mentioned, it showed stability throughout the project. While it had increases and decreases, it was still very stable. The long term chart on Market Watch shows an expected decrease in the bond value due to lower </w:t>
      </w:r>
      <w:r>
        <w:lastRenderedPageBreak/>
        <w:t xml:space="preserve">interest rates in 2008. This particular bond has no front load or deferred load and a total expense ratio of .70%. Currently, the income dividend is .06. </w:t>
      </w:r>
    </w:p>
    <w:p w:rsidR="00282B28" w:rsidRDefault="00282B28" w:rsidP="00277F2D">
      <w:pPr>
        <w:pStyle w:val="Heading2"/>
        <w:spacing w:line="480" w:lineRule="auto"/>
      </w:pPr>
      <w:r>
        <w:t>CVS Caremark Corp. (CVS)</w:t>
      </w:r>
    </w:p>
    <w:p w:rsidR="00C22BFB" w:rsidRDefault="00C22BFB" w:rsidP="00BC64AC">
      <w:pPr>
        <w:spacing w:line="480" w:lineRule="auto"/>
        <w:ind w:firstLine="720"/>
      </w:pPr>
      <w:r>
        <w:t xml:space="preserve">CVS Caremark has made a few decisions since they began that really gave them an edge in drug stores. In addition to mergers and charitable funding, CVS was also the first national pharmacy retailer to implement a loyalty card program. </w:t>
      </w:r>
      <w:r w:rsidR="006349B9">
        <w:t>CVS is one of my most stable stocks. Over the long-term, it looks like they had a very large dip toward the end of 2008.</w:t>
      </w:r>
    </w:p>
    <w:p w:rsidR="002F0280" w:rsidRDefault="002F0280" w:rsidP="00277F2D">
      <w:pPr>
        <w:pStyle w:val="Heading2"/>
        <w:spacing w:line="480" w:lineRule="auto"/>
      </w:pPr>
      <w:r>
        <w:t>Walt Disney Co. (DIS)</w:t>
      </w:r>
    </w:p>
    <w:p w:rsidR="002F0280" w:rsidRDefault="00D83A7B" w:rsidP="00BC64AC">
      <w:pPr>
        <w:spacing w:line="480" w:lineRule="auto"/>
        <w:ind w:firstLine="720"/>
      </w:pPr>
      <w:r>
        <w:t>The Walt Disney Co. is a diverse entertainment enterprise. I chose this stock a before Black Friday, in hopes that sales would increase and stock demand would increase. What I did not factor in was Disney’s company diversity. Since Christmas is here and people are spending money on gifts, they are not spending money on the other aspects of Disney, like entertainment. I believe that this is why Disney stocks have decreased since I’ve held them. These stock prices probably fluctuate with the seasons and peak toward the spring months.</w:t>
      </w:r>
    </w:p>
    <w:p w:rsidR="00893F9D" w:rsidRDefault="00893F9D" w:rsidP="00277F2D">
      <w:pPr>
        <w:pStyle w:val="Heading2"/>
        <w:spacing w:line="480" w:lineRule="auto"/>
      </w:pPr>
      <w:r>
        <w:t>L.M. Ericsson Telephone Co. ADS (ERIC)</w:t>
      </w:r>
    </w:p>
    <w:p w:rsidR="00A43514" w:rsidRDefault="00A43514" w:rsidP="00BC64AC">
      <w:pPr>
        <w:spacing w:line="480" w:lineRule="auto"/>
        <w:ind w:firstLine="720"/>
      </w:pPr>
      <w:r>
        <w:t>Ericsson is a telecom service provider. This is one of the stock</w:t>
      </w:r>
      <w:r w:rsidR="00C81A4B">
        <w:t xml:space="preserve">s that I chose in the beginning, because I recognized the name of the company. I discovered later that it wasn’t an American company, but a Swedish company. While it’s not doing </w:t>
      </w:r>
      <w:r w:rsidR="008F500A">
        <w:t>badly</w:t>
      </w:r>
      <w:r w:rsidR="00C81A4B">
        <w:t>, it wasn’t performing as well as I expected. According to the Ericsson webpage, the stocks are performing better overseas than here, even with exchange rates and everything.</w:t>
      </w:r>
    </w:p>
    <w:p w:rsidR="00893F9D" w:rsidRDefault="00093F80" w:rsidP="00277F2D">
      <w:pPr>
        <w:pStyle w:val="Heading2"/>
        <w:spacing w:line="480" w:lineRule="auto"/>
      </w:pPr>
      <w:r>
        <w:lastRenderedPageBreak/>
        <w:t>First Energy Corp</w:t>
      </w:r>
      <w:r w:rsidR="00FB0275">
        <w:t xml:space="preserve"> (FE)</w:t>
      </w:r>
    </w:p>
    <w:p w:rsidR="00093F80" w:rsidRDefault="005F009E" w:rsidP="00BC64AC">
      <w:pPr>
        <w:spacing w:line="480" w:lineRule="auto"/>
        <w:ind w:firstLine="720"/>
      </w:pPr>
      <w:r>
        <w:t xml:space="preserve">First Energy Corp is a relatively new </w:t>
      </w:r>
      <w:r w:rsidR="00417BA2">
        <w:t xml:space="preserve">power </w:t>
      </w:r>
      <w:r>
        <w:t>company, founded through a merger in 1997.</w:t>
      </w:r>
      <w:r w:rsidR="00417BA2">
        <w:t xml:space="preserve"> Now, it serves over 2.2 million customers in Ohio and Pennsylvania.</w:t>
      </w:r>
      <w:r w:rsidR="00840CB1">
        <w:t xml:space="preserve"> Since the merge that created the company, First Energy has been through two more mergers to strengthen their customer base and </w:t>
      </w:r>
      <w:r w:rsidR="009F1689">
        <w:t>consequently</w:t>
      </w:r>
      <w:r w:rsidR="008F500A">
        <w:t>, the</w:t>
      </w:r>
      <w:r w:rsidR="00840CB1">
        <w:t xml:space="preserve"> company.</w:t>
      </w:r>
    </w:p>
    <w:p w:rsidR="00E503F9" w:rsidRPr="00893F9D" w:rsidRDefault="00E503F9" w:rsidP="00277F2D">
      <w:pPr>
        <w:pStyle w:val="Heading2"/>
        <w:spacing w:line="480" w:lineRule="auto"/>
      </w:pPr>
      <w:r>
        <w:t>Global X Fishing Industry (FISN)</w:t>
      </w:r>
    </w:p>
    <w:p w:rsidR="00893F9D" w:rsidRDefault="00BD6311" w:rsidP="00BC64AC">
      <w:pPr>
        <w:spacing w:line="480" w:lineRule="auto"/>
        <w:ind w:firstLine="720"/>
      </w:pPr>
      <w:r>
        <w:t>Global X Fishing Industry is a company that does commercial fishing. It is a mutual fund. It was depreciating quickly and steadily, so I sold it early in the game. I believe this is due to a sudden wave of regulations and natural disasters that negatively affected the fishing industry.</w:t>
      </w:r>
      <w:r w:rsidR="00DB43E4">
        <w:t xml:space="preserve"> Now, I see that it recovered slightly, but is still precarious. I wouldn’t purchase this fund again.</w:t>
      </w:r>
    </w:p>
    <w:tbl>
      <w:tblPr>
        <w:tblStyle w:val="TableGrid"/>
        <w:tblW w:w="1695" w:type="dxa"/>
        <w:tblLayout w:type="fixed"/>
        <w:tblLook w:val="04A0" w:firstRow="1" w:lastRow="0" w:firstColumn="1" w:lastColumn="0" w:noHBand="0" w:noVBand="1"/>
      </w:tblPr>
      <w:tblGrid>
        <w:gridCol w:w="489"/>
        <w:gridCol w:w="489"/>
        <w:gridCol w:w="717"/>
      </w:tblGrid>
      <w:tr w:rsidR="002C7F3B" w:rsidRPr="00D96146" w:rsidTr="002C7F3B">
        <w:trPr>
          <w:trHeight w:val="268"/>
        </w:trPr>
        <w:tc>
          <w:tcPr>
            <w:tcW w:w="978" w:type="dxa"/>
            <w:gridSpan w:val="2"/>
            <w:vAlign w:val="center"/>
          </w:tcPr>
          <w:p w:rsidR="002C7F3B" w:rsidRPr="00D96146" w:rsidRDefault="002C7F3B" w:rsidP="002C7F3B">
            <w:pPr>
              <w:jc w:val="center"/>
              <w:rPr>
                <w:b/>
                <w:sz w:val="18"/>
                <w:szCs w:val="16"/>
              </w:rPr>
            </w:pPr>
            <w:r w:rsidRPr="00D96146">
              <w:rPr>
                <w:b/>
                <w:i/>
                <w:sz w:val="18"/>
                <w:szCs w:val="16"/>
              </w:rPr>
              <w:t>Date</w:t>
            </w:r>
          </w:p>
        </w:tc>
        <w:tc>
          <w:tcPr>
            <w:tcW w:w="717" w:type="dxa"/>
            <w:vAlign w:val="center"/>
          </w:tcPr>
          <w:p w:rsidR="002C7F3B" w:rsidRPr="00D96146" w:rsidRDefault="002C7F3B" w:rsidP="002C7F3B">
            <w:pPr>
              <w:jc w:val="center"/>
              <w:rPr>
                <w:b/>
                <w:sz w:val="18"/>
                <w:szCs w:val="16"/>
              </w:rPr>
            </w:pPr>
            <w:r w:rsidRPr="00D96146">
              <w:rPr>
                <w:b/>
                <w:sz w:val="18"/>
                <w:szCs w:val="16"/>
              </w:rPr>
              <w:t>FISN</w:t>
            </w:r>
          </w:p>
        </w:tc>
      </w:tr>
      <w:tr w:rsidR="002C7F3B" w:rsidRPr="00D96146" w:rsidTr="002C7F3B">
        <w:trPr>
          <w:trHeight w:val="253"/>
        </w:trPr>
        <w:tc>
          <w:tcPr>
            <w:tcW w:w="489" w:type="dxa"/>
          </w:tcPr>
          <w:p w:rsidR="002C7F3B" w:rsidRPr="00D96146" w:rsidRDefault="002C7F3B" w:rsidP="00194049">
            <w:pPr>
              <w:rPr>
                <w:sz w:val="18"/>
                <w:szCs w:val="16"/>
              </w:rPr>
            </w:pPr>
            <w:r w:rsidRPr="00D96146">
              <w:rPr>
                <w:sz w:val="18"/>
                <w:szCs w:val="16"/>
              </w:rPr>
              <w:t>12</w:t>
            </w:r>
          </w:p>
        </w:tc>
        <w:tc>
          <w:tcPr>
            <w:tcW w:w="489" w:type="dxa"/>
          </w:tcPr>
          <w:p w:rsidR="002C7F3B" w:rsidRPr="00D96146" w:rsidRDefault="002C7F3B" w:rsidP="00194049">
            <w:pPr>
              <w:rPr>
                <w:sz w:val="18"/>
                <w:szCs w:val="16"/>
              </w:rPr>
            </w:pPr>
            <w:r w:rsidRPr="00D96146">
              <w:rPr>
                <w:sz w:val="18"/>
                <w:szCs w:val="16"/>
              </w:rPr>
              <w:t>05</w:t>
            </w:r>
          </w:p>
        </w:tc>
        <w:tc>
          <w:tcPr>
            <w:tcW w:w="717" w:type="dxa"/>
          </w:tcPr>
          <w:p w:rsidR="002C7F3B" w:rsidRPr="00D96146" w:rsidRDefault="002C7F3B" w:rsidP="00194049">
            <w:pPr>
              <w:rPr>
                <w:sz w:val="18"/>
                <w:szCs w:val="16"/>
              </w:rPr>
            </w:pPr>
            <w:r w:rsidRPr="00D96146">
              <w:rPr>
                <w:sz w:val="18"/>
                <w:szCs w:val="16"/>
              </w:rPr>
              <w:t>10.50</w:t>
            </w:r>
          </w:p>
        </w:tc>
      </w:tr>
      <w:tr w:rsidR="002C7F3B" w:rsidRPr="00D96146" w:rsidTr="002C7F3B">
        <w:trPr>
          <w:trHeight w:val="268"/>
        </w:trPr>
        <w:tc>
          <w:tcPr>
            <w:tcW w:w="489" w:type="dxa"/>
          </w:tcPr>
          <w:p w:rsidR="002C7F3B" w:rsidRPr="00D96146" w:rsidRDefault="002C7F3B" w:rsidP="00194049">
            <w:pPr>
              <w:rPr>
                <w:sz w:val="18"/>
                <w:szCs w:val="16"/>
              </w:rPr>
            </w:pPr>
            <w:r w:rsidRPr="00D96146">
              <w:rPr>
                <w:sz w:val="18"/>
                <w:szCs w:val="16"/>
              </w:rPr>
              <w:t>12</w:t>
            </w:r>
          </w:p>
        </w:tc>
        <w:tc>
          <w:tcPr>
            <w:tcW w:w="489" w:type="dxa"/>
          </w:tcPr>
          <w:p w:rsidR="002C7F3B" w:rsidRPr="00D96146" w:rsidRDefault="002C7F3B" w:rsidP="00194049">
            <w:pPr>
              <w:rPr>
                <w:sz w:val="18"/>
                <w:szCs w:val="16"/>
              </w:rPr>
            </w:pPr>
            <w:r w:rsidRPr="00D96146">
              <w:rPr>
                <w:sz w:val="18"/>
                <w:szCs w:val="16"/>
              </w:rPr>
              <w:t>02</w:t>
            </w:r>
          </w:p>
        </w:tc>
        <w:tc>
          <w:tcPr>
            <w:tcW w:w="717" w:type="dxa"/>
          </w:tcPr>
          <w:p w:rsidR="002C7F3B" w:rsidRPr="00D96146" w:rsidRDefault="002C7F3B" w:rsidP="00194049">
            <w:pPr>
              <w:rPr>
                <w:sz w:val="18"/>
                <w:szCs w:val="16"/>
              </w:rPr>
            </w:pPr>
            <w:r w:rsidRPr="00D96146">
              <w:rPr>
                <w:sz w:val="18"/>
                <w:szCs w:val="16"/>
              </w:rPr>
              <w:t>10.48</w:t>
            </w:r>
          </w:p>
        </w:tc>
      </w:tr>
      <w:tr w:rsidR="002C7F3B" w:rsidRPr="00D96146" w:rsidTr="002C7F3B">
        <w:trPr>
          <w:trHeight w:val="253"/>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30</w:t>
            </w:r>
          </w:p>
        </w:tc>
        <w:tc>
          <w:tcPr>
            <w:tcW w:w="717" w:type="dxa"/>
          </w:tcPr>
          <w:p w:rsidR="002C7F3B" w:rsidRPr="00D96146" w:rsidRDefault="002C7F3B" w:rsidP="00194049">
            <w:pPr>
              <w:rPr>
                <w:sz w:val="18"/>
                <w:szCs w:val="16"/>
              </w:rPr>
            </w:pPr>
            <w:r w:rsidRPr="00D96146">
              <w:rPr>
                <w:sz w:val="18"/>
                <w:szCs w:val="16"/>
              </w:rPr>
              <w:t>10.50</w:t>
            </w:r>
          </w:p>
        </w:tc>
      </w:tr>
      <w:tr w:rsidR="002C7F3B" w:rsidRPr="00D96146" w:rsidTr="002C7F3B">
        <w:trPr>
          <w:trHeight w:val="268"/>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29</w:t>
            </w:r>
          </w:p>
        </w:tc>
        <w:tc>
          <w:tcPr>
            <w:tcW w:w="717" w:type="dxa"/>
          </w:tcPr>
          <w:p w:rsidR="002C7F3B" w:rsidRPr="00D96146" w:rsidRDefault="002C7F3B" w:rsidP="00194049">
            <w:pPr>
              <w:rPr>
                <w:sz w:val="18"/>
                <w:szCs w:val="16"/>
              </w:rPr>
            </w:pPr>
            <w:r w:rsidRPr="00D96146">
              <w:rPr>
                <w:sz w:val="18"/>
                <w:szCs w:val="16"/>
              </w:rPr>
              <w:t>10.09</w:t>
            </w:r>
          </w:p>
        </w:tc>
      </w:tr>
      <w:tr w:rsidR="002C7F3B" w:rsidRPr="00D96146" w:rsidTr="002C7F3B">
        <w:trPr>
          <w:trHeight w:val="253"/>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23</w:t>
            </w:r>
          </w:p>
        </w:tc>
        <w:tc>
          <w:tcPr>
            <w:tcW w:w="717" w:type="dxa"/>
          </w:tcPr>
          <w:p w:rsidR="002C7F3B" w:rsidRPr="00D96146" w:rsidRDefault="002C7F3B" w:rsidP="00194049">
            <w:pPr>
              <w:rPr>
                <w:sz w:val="18"/>
                <w:szCs w:val="16"/>
              </w:rPr>
            </w:pPr>
            <w:r w:rsidRPr="00D96146">
              <w:rPr>
                <w:sz w:val="18"/>
                <w:szCs w:val="16"/>
              </w:rPr>
              <w:t>9.946</w:t>
            </w:r>
          </w:p>
        </w:tc>
      </w:tr>
      <w:tr w:rsidR="002C7F3B" w:rsidRPr="00D96146" w:rsidTr="002C7F3B">
        <w:trPr>
          <w:trHeight w:val="253"/>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14</w:t>
            </w:r>
          </w:p>
        </w:tc>
        <w:tc>
          <w:tcPr>
            <w:tcW w:w="717" w:type="dxa"/>
          </w:tcPr>
          <w:p w:rsidR="002C7F3B" w:rsidRPr="00D96146" w:rsidRDefault="002C7F3B" w:rsidP="00194049">
            <w:pPr>
              <w:rPr>
                <w:sz w:val="18"/>
                <w:szCs w:val="16"/>
              </w:rPr>
            </w:pPr>
            <w:r w:rsidRPr="00D96146">
              <w:rPr>
                <w:sz w:val="18"/>
                <w:szCs w:val="16"/>
              </w:rPr>
              <w:t>10.54</w:t>
            </w:r>
          </w:p>
        </w:tc>
      </w:tr>
      <w:tr w:rsidR="002C7F3B" w:rsidRPr="00D96146" w:rsidTr="002C7F3B">
        <w:trPr>
          <w:trHeight w:val="268"/>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11</w:t>
            </w:r>
          </w:p>
        </w:tc>
        <w:tc>
          <w:tcPr>
            <w:tcW w:w="717" w:type="dxa"/>
          </w:tcPr>
          <w:p w:rsidR="002C7F3B" w:rsidRPr="00D96146" w:rsidRDefault="002C7F3B" w:rsidP="00194049">
            <w:pPr>
              <w:rPr>
                <w:sz w:val="18"/>
                <w:szCs w:val="16"/>
              </w:rPr>
            </w:pPr>
            <w:r w:rsidRPr="00D96146">
              <w:rPr>
                <w:sz w:val="18"/>
                <w:szCs w:val="16"/>
              </w:rPr>
              <w:t>10.86</w:t>
            </w:r>
          </w:p>
        </w:tc>
      </w:tr>
      <w:tr w:rsidR="002C7F3B" w:rsidRPr="00D96146" w:rsidTr="002C7F3B">
        <w:trPr>
          <w:trHeight w:val="268"/>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10</w:t>
            </w:r>
          </w:p>
        </w:tc>
        <w:tc>
          <w:tcPr>
            <w:tcW w:w="717" w:type="dxa"/>
          </w:tcPr>
          <w:p w:rsidR="002C7F3B" w:rsidRPr="00D96146" w:rsidRDefault="002C7F3B" w:rsidP="00194049">
            <w:pPr>
              <w:rPr>
                <w:sz w:val="18"/>
                <w:szCs w:val="16"/>
              </w:rPr>
            </w:pPr>
            <w:r w:rsidRPr="00D96146">
              <w:rPr>
                <w:sz w:val="18"/>
                <w:szCs w:val="16"/>
              </w:rPr>
              <w:t>10.65</w:t>
            </w:r>
          </w:p>
        </w:tc>
      </w:tr>
      <w:tr w:rsidR="002C7F3B" w:rsidRPr="00D96146" w:rsidTr="002C7F3B">
        <w:trPr>
          <w:trHeight w:val="253"/>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09</w:t>
            </w:r>
          </w:p>
        </w:tc>
        <w:tc>
          <w:tcPr>
            <w:tcW w:w="717" w:type="dxa"/>
          </w:tcPr>
          <w:p w:rsidR="002C7F3B" w:rsidRPr="00D96146" w:rsidRDefault="002C7F3B" w:rsidP="00194049">
            <w:pPr>
              <w:rPr>
                <w:sz w:val="18"/>
                <w:szCs w:val="16"/>
              </w:rPr>
            </w:pPr>
            <w:r w:rsidRPr="00D96146">
              <w:rPr>
                <w:sz w:val="18"/>
                <w:szCs w:val="16"/>
              </w:rPr>
              <w:t>10.76</w:t>
            </w:r>
          </w:p>
        </w:tc>
      </w:tr>
      <w:tr w:rsidR="002C7F3B" w:rsidRPr="00D96146" w:rsidTr="002C7F3B">
        <w:trPr>
          <w:trHeight w:val="268"/>
        </w:trPr>
        <w:tc>
          <w:tcPr>
            <w:tcW w:w="489" w:type="dxa"/>
          </w:tcPr>
          <w:p w:rsidR="002C7F3B" w:rsidRPr="00D96146" w:rsidRDefault="002C7F3B" w:rsidP="00194049">
            <w:pPr>
              <w:rPr>
                <w:sz w:val="18"/>
                <w:szCs w:val="16"/>
              </w:rPr>
            </w:pPr>
            <w:r w:rsidRPr="00D96146">
              <w:rPr>
                <w:sz w:val="18"/>
                <w:szCs w:val="16"/>
              </w:rPr>
              <w:t>11</w:t>
            </w:r>
          </w:p>
        </w:tc>
        <w:tc>
          <w:tcPr>
            <w:tcW w:w="489" w:type="dxa"/>
          </w:tcPr>
          <w:p w:rsidR="002C7F3B" w:rsidRPr="00D96146" w:rsidRDefault="002C7F3B" w:rsidP="00194049">
            <w:pPr>
              <w:rPr>
                <w:sz w:val="18"/>
                <w:szCs w:val="16"/>
              </w:rPr>
            </w:pPr>
            <w:r w:rsidRPr="00D96146">
              <w:rPr>
                <w:sz w:val="18"/>
                <w:szCs w:val="16"/>
              </w:rPr>
              <w:t>08</w:t>
            </w:r>
          </w:p>
        </w:tc>
        <w:tc>
          <w:tcPr>
            <w:tcW w:w="717" w:type="dxa"/>
          </w:tcPr>
          <w:p w:rsidR="002C7F3B" w:rsidRPr="00D96146" w:rsidRDefault="002C7F3B" w:rsidP="00194049">
            <w:pPr>
              <w:rPr>
                <w:sz w:val="18"/>
                <w:szCs w:val="16"/>
              </w:rPr>
            </w:pPr>
            <w:r w:rsidRPr="00D96146">
              <w:rPr>
                <w:sz w:val="18"/>
                <w:szCs w:val="16"/>
              </w:rPr>
              <w:t>11.27</w:t>
            </w:r>
          </w:p>
        </w:tc>
      </w:tr>
    </w:tbl>
    <w:p w:rsidR="002C7F3B" w:rsidRDefault="002C7F3B" w:rsidP="002F0280"/>
    <w:p w:rsidR="00A2646F" w:rsidRDefault="00A2646F" w:rsidP="00277F2D">
      <w:pPr>
        <w:pStyle w:val="Heading2"/>
        <w:spacing w:line="480" w:lineRule="auto"/>
      </w:pPr>
      <w:r>
        <w:t>General Electric Co (GE)</w:t>
      </w:r>
    </w:p>
    <w:p w:rsidR="00A2646F" w:rsidRDefault="00A2646F" w:rsidP="00BC64AC">
      <w:pPr>
        <w:spacing w:line="480" w:lineRule="auto"/>
        <w:ind w:firstLine="720"/>
      </w:pPr>
      <w:r>
        <w:t>General Electric is another company that I probably wouldn’t buy stock in. They had a wide range of prices and seem risky. I think this is because they are a big, controversial company.</w:t>
      </w:r>
    </w:p>
    <w:p w:rsidR="008009BC" w:rsidRDefault="008009BC" w:rsidP="00277F2D">
      <w:pPr>
        <w:pStyle w:val="Heading2"/>
        <w:spacing w:line="480" w:lineRule="auto"/>
      </w:pPr>
      <w:r>
        <w:lastRenderedPageBreak/>
        <w:t>Prudential Jennison Equity Income Fund Cl B (</w:t>
      </w:r>
      <w:r w:rsidRPr="008009BC">
        <w:t>JEIBX</w:t>
      </w:r>
      <w:r>
        <w:t>)</w:t>
      </w:r>
    </w:p>
    <w:p w:rsidR="008009BC" w:rsidRDefault="001A4BE9" w:rsidP="00BC64AC">
      <w:pPr>
        <w:spacing w:line="480" w:lineRule="auto"/>
        <w:ind w:firstLine="720"/>
      </w:pPr>
      <w:r>
        <w:t>This is the first of my mutual funds. It has no front load and a deferred load of 5%. The total expense ratio is</w:t>
      </w:r>
      <w:r w:rsidR="001919A7">
        <w:t xml:space="preserve"> 2.19%. It is an income producing equity and invests at least 65% of the total assets into income producing equity. </w:t>
      </w:r>
      <w:r w:rsidR="007267E2">
        <w:t>It has a .08 dividend distributed quarterly.</w:t>
      </w:r>
      <w:r w:rsidR="00BC64AC">
        <w:t xml:space="preserve"> It is very stable.</w:t>
      </w:r>
    </w:p>
    <w:p w:rsidR="00203AAF" w:rsidRDefault="00203AAF" w:rsidP="00277F2D">
      <w:pPr>
        <w:pStyle w:val="Heading2"/>
        <w:spacing w:line="480" w:lineRule="auto"/>
      </w:pPr>
      <w:r>
        <w:t>John Hancock Government Income Fund A (JHGIX)</w:t>
      </w:r>
    </w:p>
    <w:p w:rsidR="00203AAF" w:rsidRDefault="005604E6" w:rsidP="00BC64AC">
      <w:pPr>
        <w:spacing w:line="480" w:lineRule="auto"/>
        <w:ind w:firstLine="720"/>
      </w:pPr>
      <w:r>
        <w:t xml:space="preserve">This is my second mutual fund. It invests at least 80% of total </w:t>
      </w:r>
      <w:r w:rsidR="008F500A">
        <w:t>assets</w:t>
      </w:r>
      <w:r>
        <w:t xml:space="preserve"> into obligations guaranteed by the government. This fund is </w:t>
      </w:r>
      <w:r w:rsidR="008F500A">
        <w:t>concerned</w:t>
      </w:r>
      <w:r>
        <w:t xml:space="preserve"> with preserving capital in addition to creating income.</w:t>
      </w:r>
      <w:r w:rsidR="008F500A">
        <w:t xml:space="preserve"> It has a 4.50% front load, 1.07% expense ratio, and a .02 dividend distributed daily.</w:t>
      </w:r>
      <w:r w:rsidR="00BC64AC">
        <w:t xml:space="preserve"> It is also very stable. </w:t>
      </w:r>
    </w:p>
    <w:p w:rsidR="00327F44" w:rsidRDefault="00327F44" w:rsidP="00277F2D">
      <w:pPr>
        <w:pStyle w:val="Heading2"/>
        <w:spacing w:line="480" w:lineRule="auto"/>
      </w:pPr>
      <w:r>
        <w:t>Nordstrom Inc. (JWN)</w:t>
      </w:r>
    </w:p>
    <w:p w:rsidR="00327F44" w:rsidRDefault="00327F44" w:rsidP="00BC64AC">
      <w:pPr>
        <w:spacing w:line="480" w:lineRule="auto"/>
        <w:ind w:firstLine="720"/>
      </w:pPr>
      <w:r>
        <w:t xml:space="preserve">Nordstrom Inc. is a company I chose in hopes of picking something that would go up for the holidays. It didn’t. I’m not really sure why. </w:t>
      </w:r>
    </w:p>
    <w:p w:rsidR="00BE7781" w:rsidRDefault="00BE7781" w:rsidP="00277F2D">
      <w:pPr>
        <w:pStyle w:val="Heading2"/>
        <w:spacing w:line="480" w:lineRule="auto"/>
      </w:pPr>
      <w:r>
        <w:t>Republic Airways Holdings (RJET)</w:t>
      </w:r>
    </w:p>
    <w:p w:rsidR="00BE7781" w:rsidRPr="00BE7781" w:rsidRDefault="00A567CA" w:rsidP="00BC64AC">
      <w:pPr>
        <w:spacing w:line="480" w:lineRule="auto"/>
        <w:ind w:firstLine="720"/>
      </w:pPr>
      <w:r>
        <w:t>Republic Airways Holdings has had a lot of external influences affecting the stock prices.</w:t>
      </w:r>
      <w:r w:rsidR="00830474">
        <w:t xml:space="preserve"> There is a lot of political turmoil overseas and a lot of laws and fees here that are causing people not to fly. These factors are hurting all the airlines, not just Republic Airways Holdings.</w:t>
      </w:r>
    </w:p>
    <w:p w:rsidR="00FB2649" w:rsidRDefault="00FB2649" w:rsidP="00277F2D">
      <w:pPr>
        <w:pStyle w:val="Heading2"/>
        <w:spacing w:line="480" w:lineRule="auto"/>
      </w:pPr>
      <w:r>
        <w:t>Tenet Healthcare Corp</w:t>
      </w:r>
      <w:r w:rsidR="002C7F3B">
        <w:t xml:space="preserve"> </w:t>
      </w:r>
      <w:r>
        <w:t>(THC)</w:t>
      </w:r>
    </w:p>
    <w:p w:rsidR="002C7F3B" w:rsidRDefault="002C7F3B" w:rsidP="00BC64AC">
      <w:pPr>
        <w:spacing w:line="480" w:lineRule="auto"/>
        <w:ind w:firstLine="720"/>
      </w:pPr>
      <w:r>
        <w:t>Tenet Healthcare Corp is an investor-owned health care provider. Their long-term history looks like a stereotypical stock. It goes up and down often.</w:t>
      </w:r>
    </w:p>
    <w:p w:rsidR="00024F5D" w:rsidRPr="002C7F3B" w:rsidRDefault="00024F5D" w:rsidP="00024F5D">
      <w:pPr>
        <w:pStyle w:val="Heading1"/>
      </w:pPr>
      <w:r>
        <w:lastRenderedPageBreak/>
        <w:t>Summary</w:t>
      </w:r>
    </w:p>
    <w:p w:rsidR="00327F44" w:rsidRPr="00203AAF" w:rsidRDefault="00024F5D" w:rsidP="00024F5D">
      <w:pPr>
        <w:spacing w:line="480" w:lineRule="auto"/>
      </w:pPr>
      <w:r>
        <w:tab/>
        <w:t>I learned more from this game than anything I had heard or read about stocks previously. This gave me the confidence and resources I need to determine how to invest in the future. If someone were to ask me for advice, I would tell them to go to Market Watch (or somewhere similar) and play with the fake money first. This would let them try out the stock market safely, but also give them confidence and learn a little about their own personality and the amount of risk they would like to take.</w:t>
      </w:r>
    </w:p>
    <w:p w:rsidR="00203AAF" w:rsidRDefault="00830474" w:rsidP="00830474">
      <w:pPr>
        <w:tabs>
          <w:tab w:val="left" w:pos="3315"/>
        </w:tabs>
      </w:pPr>
      <w:r>
        <w:tab/>
      </w:r>
    </w:p>
    <w:p w:rsidR="008009BC" w:rsidRPr="00A2646F" w:rsidRDefault="008009BC" w:rsidP="00A2646F"/>
    <w:p w:rsidR="00D03D96" w:rsidRDefault="00D03D96" w:rsidP="00C9417B"/>
    <w:tbl>
      <w:tblPr>
        <w:tblStyle w:val="MediumGrid1-Accent6"/>
        <w:tblW w:w="9288" w:type="dxa"/>
        <w:tblLayout w:type="fixed"/>
        <w:tblLook w:val="04A0" w:firstRow="1" w:lastRow="0" w:firstColumn="1" w:lastColumn="0" w:noHBand="0" w:noVBand="1"/>
      </w:tblPr>
      <w:tblGrid>
        <w:gridCol w:w="468"/>
        <w:gridCol w:w="450"/>
        <w:gridCol w:w="720"/>
        <w:gridCol w:w="810"/>
        <w:gridCol w:w="630"/>
        <w:gridCol w:w="630"/>
        <w:gridCol w:w="720"/>
        <w:gridCol w:w="630"/>
        <w:gridCol w:w="630"/>
        <w:gridCol w:w="810"/>
        <w:gridCol w:w="720"/>
        <w:gridCol w:w="630"/>
        <w:gridCol w:w="720"/>
        <w:gridCol w:w="720"/>
      </w:tblGrid>
      <w:tr w:rsidR="00830474" w:rsidRPr="00830474" w:rsidTr="00194049">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88" w:type="dxa"/>
            <w:gridSpan w:val="14"/>
          </w:tcPr>
          <w:p w:rsidR="00830474" w:rsidRPr="00830474" w:rsidRDefault="00830474" w:rsidP="00830474">
            <w:pPr>
              <w:tabs>
                <w:tab w:val="left" w:pos="5057"/>
              </w:tabs>
              <w:jc w:val="center"/>
              <w:rPr>
                <w:sz w:val="24"/>
                <w:szCs w:val="16"/>
              </w:rPr>
            </w:pPr>
            <w:r w:rsidRPr="00830474">
              <w:rPr>
                <w:sz w:val="24"/>
                <w:szCs w:val="16"/>
              </w:rPr>
              <w:t>Table of Price Quotes by Investment</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18" w:type="dxa"/>
            <w:gridSpan w:val="2"/>
          </w:tcPr>
          <w:p w:rsidR="002C7F3B" w:rsidRPr="00BE7781" w:rsidRDefault="002C7F3B" w:rsidP="002C7F3B">
            <w:pPr>
              <w:jc w:val="center"/>
              <w:rPr>
                <w:i/>
                <w:sz w:val="18"/>
                <w:szCs w:val="16"/>
              </w:rPr>
            </w:pPr>
            <w:r w:rsidRPr="00BE7781">
              <w:rPr>
                <w:i/>
                <w:sz w:val="18"/>
                <w:szCs w:val="16"/>
              </w:rPr>
              <w:t>Date</w:t>
            </w:r>
          </w:p>
        </w:tc>
        <w:tc>
          <w:tcPr>
            <w:tcW w:w="72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ASGN</w:t>
            </w:r>
          </w:p>
        </w:tc>
        <w:tc>
          <w:tcPr>
            <w:tcW w:w="81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CFMOX</w:t>
            </w:r>
          </w:p>
        </w:tc>
        <w:tc>
          <w:tcPr>
            <w:tcW w:w="63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CVS</w:t>
            </w:r>
          </w:p>
        </w:tc>
        <w:tc>
          <w:tcPr>
            <w:tcW w:w="63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DIS</w:t>
            </w:r>
          </w:p>
        </w:tc>
        <w:tc>
          <w:tcPr>
            <w:tcW w:w="72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ERIC</w:t>
            </w:r>
          </w:p>
        </w:tc>
        <w:tc>
          <w:tcPr>
            <w:tcW w:w="63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FE</w:t>
            </w:r>
          </w:p>
        </w:tc>
        <w:tc>
          <w:tcPr>
            <w:tcW w:w="63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GE</w:t>
            </w:r>
          </w:p>
        </w:tc>
        <w:tc>
          <w:tcPr>
            <w:tcW w:w="81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JEIBX</w:t>
            </w:r>
          </w:p>
        </w:tc>
        <w:tc>
          <w:tcPr>
            <w:tcW w:w="72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JHGIX</w:t>
            </w:r>
          </w:p>
        </w:tc>
        <w:tc>
          <w:tcPr>
            <w:tcW w:w="63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sidRPr="00D96146">
              <w:rPr>
                <w:b/>
                <w:sz w:val="18"/>
                <w:szCs w:val="16"/>
              </w:rPr>
              <w:t>JWN</w:t>
            </w:r>
          </w:p>
        </w:tc>
        <w:tc>
          <w:tcPr>
            <w:tcW w:w="72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RJET</w:t>
            </w:r>
          </w:p>
        </w:tc>
        <w:tc>
          <w:tcPr>
            <w:tcW w:w="720" w:type="dxa"/>
          </w:tcPr>
          <w:p w:rsidR="002C7F3B" w:rsidRPr="00D96146" w:rsidRDefault="002C7F3B" w:rsidP="002C7F3B">
            <w:pPr>
              <w:jc w:val="center"/>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THC</w:t>
            </w:r>
          </w:p>
        </w:tc>
      </w:tr>
      <w:tr w:rsidR="002C7F3B" w:rsidRPr="00D96146" w:rsidTr="00830474">
        <w:trPr>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D96146">
            <w:pPr>
              <w:rPr>
                <w:sz w:val="18"/>
                <w:szCs w:val="16"/>
              </w:rPr>
            </w:pPr>
            <w:r w:rsidRPr="00D96146">
              <w:rPr>
                <w:sz w:val="18"/>
                <w:szCs w:val="16"/>
              </w:rPr>
              <w:t>12</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07</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10.46</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19.82</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38.32</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37.31</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10.46</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45.21</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16.74</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12.36</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47.12</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3.950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t>4.550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12</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06</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10.66</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38.27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36.83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10.39</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45.04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16.72</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12.35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47.36</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3.790</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t>4.680</w:t>
            </w:r>
          </w:p>
        </w:tc>
      </w:tr>
      <w:tr w:rsidR="002C7F3B" w:rsidRPr="00D96146" w:rsidTr="00830474">
        <w:trPr>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12</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05</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10.60</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19.71</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38.33</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36.94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10.38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44.63</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16.33</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12.31</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48.13</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3.830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4.700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12</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02</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10.34</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38.29</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36.61</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10.21</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44.29</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16.09</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12.18</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47.17</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3.790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4.180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12</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01</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10.01</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19.75</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38.48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35.99</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10.44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44.69</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15.91</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12.21</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47.10</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3.830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4.680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30</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10.42</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19.76</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38.84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35.85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10.63</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44.47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15.91</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12.23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45.28</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3.830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4.650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29</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9.880</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19.76</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37.68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34.00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9.830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43.24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14.92</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11.80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44.66</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3.720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4.360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28</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10.06</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19.76</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37.38</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34.07</w:t>
            </w:r>
          </w:p>
        </w:tc>
        <w:tc>
          <w:tcPr>
            <w:tcW w:w="720" w:type="dxa"/>
          </w:tcPr>
          <w:p w:rsidR="002C7F3B" w:rsidRPr="00D96146" w:rsidRDefault="002C7F3B" w:rsidP="00C81A4B">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9.710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42.75</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14.80</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11.76</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45.19</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3.940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4.360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25</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9.350</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36.85</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33.51</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9.170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41.94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14.70</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11.44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44.29</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3.830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4.170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23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9.940</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19.78</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37.04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33.40</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9.510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41.86</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14.73</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11.45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44.74</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3.770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4.120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22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10.48</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19.77</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37.60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34.02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9.700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42.69</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14.99</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11.72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45.73</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4.140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4.280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21</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10.37</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37.72</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34.33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9.700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43.54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15.24</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11.74</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46.31</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4.200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4.310</w:t>
            </w:r>
          </w:p>
        </w:tc>
      </w:tr>
      <w:tr w:rsidR="002C7F3B" w:rsidRPr="00D96146" w:rsidTr="00830474">
        <w:trPr>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18</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10.75</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19.75</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38.16</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35.63</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9.915</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44.28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15.65</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11.94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46.98</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4.300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4.500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17</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10.39</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19.73</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38.48</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35.15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43.87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15.64</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11.94</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47.01</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4.370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4.540</w:t>
            </w:r>
          </w:p>
        </w:tc>
      </w:tr>
      <w:tr w:rsidR="002C7F3B" w:rsidRPr="00D96146" w:rsidTr="00830474">
        <w:trPr>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16</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10.56</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19.71</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38.48</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35.53</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44.76</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15.95</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12.10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48.13</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4.640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4.830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15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10.98</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19.71</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38.95</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36.45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10.22</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45.51</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16.20</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12.26</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49.30</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4.100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5.070</w:t>
            </w:r>
          </w:p>
        </w:tc>
      </w:tr>
      <w:tr w:rsidR="002C7F3B" w:rsidRPr="00D96146" w:rsidTr="00830474">
        <w:trPr>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14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10.86</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38.77</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36.12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10.17</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44.72</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16.10</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12.20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9.790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49.09</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3.960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5.130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11</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10.99</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19.76</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39.24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36.70</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10.27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45.45</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16.30</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12.34</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49.48</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3.960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5.190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10</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10.81</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19.76</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38.50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34.64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9.950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44.75</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16.06</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12.15</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49.62</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3.950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5.060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09</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10.36</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38.39</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33.79</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10.02</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44.74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15.85</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12.07</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9.820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48.93</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4.020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5.020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08</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10.97</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39.04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35.29</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10.82</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46.00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16.48</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12.52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51.20</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4.340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5.160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07</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10.63</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19.75</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38.23</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35.15</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10.80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45.67</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16.39</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12.37</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9.820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50.63</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2.690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4.960</w:t>
            </w:r>
          </w:p>
        </w:tc>
      </w:tr>
      <w:tr w:rsidR="002C7F3B" w:rsidRPr="00D96146" w:rsidTr="00830474">
        <w:trPr>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000000" w:firstRow="0" w:lastRow="0" w:firstColumn="0" w:lastColumn="0" w:oddVBand="0" w:evenVBand="0" w:oddHBand="0" w:evenHBand="0" w:firstRowFirstColumn="0" w:firstRowLastColumn="0" w:lastRowFirstColumn="0" w:lastRowLastColumn="0"/>
              <w:rPr>
                <w:b/>
                <w:sz w:val="18"/>
                <w:szCs w:val="16"/>
              </w:rPr>
            </w:pPr>
            <w:r w:rsidRPr="00BE7781">
              <w:rPr>
                <w:b/>
                <w:sz w:val="18"/>
                <w:szCs w:val="16"/>
              </w:rPr>
              <w:t>04</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10.56</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19.74</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38.02</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34.76</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10.61</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45.51</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16.39</w:t>
            </w:r>
          </w:p>
        </w:tc>
        <w:tc>
          <w:tcPr>
            <w:tcW w:w="81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12.32</w:t>
            </w:r>
          </w:p>
        </w:tc>
        <w:tc>
          <w:tcPr>
            <w:tcW w:w="72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9.830</w:t>
            </w:r>
          </w:p>
        </w:tc>
        <w:tc>
          <w:tcPr>
            <w:tcW w:w="630" w:type="dxa"/>
          </w:tcPr>
          <w:p w:rsidR="002C7F3B" w:rsidRPr="00D96146" w:rsidRDefault="002C7F3B" w:rsidP="00A2646F">
            <w:pPr>
              <w:cnfStyle w:val="000000000000" w:firstRow="0" w:lastRow="0" w:firstColumn="0" w:lastColumn="0" w:oddVBand="0" w:evenVBand="0" w:oddHBand="0" w:evenHBand="0" w:firstRowFirstColumn="0" w:firstRowLastColumn="0" w:lastRowFirstColumn="0" w:lastRowLastColumn="0"/>
              <w:rPr>
                <w:sz w:val="18"/>
                <w:szCs w:val="16"/>
              </w:rPr>
            </w:pPr>
            <w:r w:rsidRPr="00D96146">
              <w:rPr>
                <w:sz w:val="18"/>
                <w:szCs w:val="16"/>
              </w:rPr>
              <w:t>50.39</w:t>
            </w:r>
          </w:p>
        </w:tc>
        <w:tc>
          <w:tcPr>
            <w:tcW w:w="720" w:type="dxa"/>
          </w:tcPr>
          <w:p w:rsidR="002C7F3B" w:rsidRPr="00D96146" w:rsidRDefault="00830474" w:rsidP="00A2646F">
            <w:pPr>
              <w:cnfStyle w:val="000000000000" w:firstRow="0" w:lastRow="0" w:firstColumn="0" w:lastColumn="0" w:oddVBand="0" w:evenVBand="0" w:oddHBand="0" w:evenHBand="0" w:firstRowFirstColumn="0" w:firstRowLastColumn="0" w:lastRowFirstColumn="0" w:lastRowLastColumn="0"/>
              <w:rPr>
                <w:sz w:val="18"/>
                <w:szCs w:val="16"/>
              </w:rPr>
            </w:pPr>
            <w:r>
              <w:t>2.710</w:t>
            </w:r>
          </w:p>
        </w:tc>
        <w:tc>
          <w:tcPr>
            <w:tcW w:w="720" w:type="dxa"/>
          </w:tcPr>
          <w:p w:rsidR="002C7F3B" w:rsidRPr="00D96146" w:rsidRDefault="006D7462" w:rsidP="00A2646F">
            <w:pPr>
              <w:cnfStyle w:val="000000000000" w:firstRow="0" w:lastRow="0" w:firstColumn="0" w:lastColumn="0" w:oddVBand="0" w:evenVBand="0" w:oddHBand="0" w:evenHBand="0" w:firstRowFirstColumn="0" w:firstRowLastColumn="0" w:lastRowFirstColumn="0" w:lastRowLastColumn="0"/>
              <w:rPr>
                <w:sz w:val="18"/>
                <w:szCs w:val="16"/>
              </w:rPr>
            </w:pPr>
            <w:r>
              <w:t>4.860</w:t>
            </w:r>
          </w:p>
        </w:tc>
      </w:tr>
      <w:tr w:rsidR="00830474" w:rsidRPr="00D96146" w:rsidTr="008304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8" w:type="dxa"/>
          </w:tcPr>
          <w:p w:rsidR="002C7F3B" w:rsidRPr="00D96146" w:rsidRDefault="002C7F3B" w:rsidP="00A2646F">
            <w:pPr>
              <w:rPr>
                <w:sz w:val="18"/>
                <w:szCs w:val="16"/>
              </w:rPr>
            </w:pPr>
            <w:r w:rsidRPr="00D96146">
              <w:rPr>
                <w:sz w:val="18"/>
                <w:szCs w:val="16"/>
              </w:rPr>
              <w:t>11</w:t>
            </w:r>
          </w:p>
        </w:tc>
        <w:tc>
          <w:tcPr>
            <w:tcW w:w="450" w:type="dxa"/>
          </w:tcPr>
          <w:p w:rsidR="002C7F3B" w:rsidRPr="00BE7781" w:rsidRDefault="002C7F3B" w:rsidP="00A2646F">
            <w:pPr>
              <w:cnfStyle w:val="000000100000" w:firstRow="0" w:lastRow="0" w:firstColumn="0" w:lastColumn="0" w:oddVBand="0" w:evenVBand="0" w:oddHBand="1" w:evenHBand="0" w:firstRowFirstColumn="0" w:firstRowLastColumn="0" w:lastRowFirstColumn="0" w:lastRowLastColumn="0"/>
              <w:rPr>
                <w:b/>
                <w:sz w:val="18"/>
                <w:szCs w:val="16"/>
              </w:rPr>
            </w:pPr>
            <w:r w:rsidRPr="00BE7781">
              <w:rPr>
                <w:b/>
                <w:sz w:val="18"/>
                <w:szCs w:val="16"/>
              </w:rPr>
              <w:t>03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10.69</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19.74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37.31</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35.03</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10.84</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45.76</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16.67</w:t>
            </w:r>
          </w:p>
        </w:tc>
        <w:tc>
          <w:tcPr>
            <w:tcW w:w="81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12.41</w:t>
            </w:r>
          </w:p>
        </w:tc>
        <w:tc>
          <w:tcPr>
            <w:tcW w:w="72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9.810</w:t>
            </w:r>
          </w:p>
        </w:tc>
        <w:tc>
          <w:tcPr>
            <w:tcW w:w="630" w:type="dxa"/>
          </w:tcPr>
          <w:p w:rsidR="002C7F3B" w:rsidRPr="00D96146" w:rsidRDefault="002C7F3B" w:rsidP="00A2646F">
            <w:pPr>
              <w:cnfStyle w:val="000000100000" w:firstRow="0" w:lastRow="0" w:firstColumn="0" w:lastColumn="0" w:oddVBand="0" w:evenVBand="0" w:oddHBand="1" w:evenHBand="0" w:firstRowFirstColumn="0" w:firstRowLastColumn="0" w:lastRowFirstColumn="0" w:lastRowLastColumn="0"/>
              <w:rPr>
                <w:sz w:val="18"/>
                <w:szCs w:val="16"/>
              </w:rPr>
            </w:pPr>
            <w:r w:rsidRPr="00D96146">
              <w:rPr>
                <w:sz w:val="18"/>
                <w:szCs w:val="16"/>
              </w:rPr>
              <w:t>51.07</w:t>
            </w:r>
          </w:p>
        </w:tc>
        <w:tc>
          <w:tcPr>
            <w:tcW w:w="720" w:type="dxa"/>
          </w:tcPr>
          <w:p w:rsidR="002C7F3B" w:rsidRPr="00D96146" w:rsidRDefault="00830474" w:rsidP="00A2646F">
            <w:pPr>
              <w:cnfStyle w:val="000000100000" w:firstRow="0" w:lastRow="0" w:firstColumn="0" w:lastColumn="0" w:oddVBand="0" w:evenVBand="0" w:oddHBand="1" w:evenHBand="0" w:firstRowFirstColumn="0" w:firstRowLastColumn="0" w:lastRowFirstColumn="0" w:lastRowLastColumn="0"/>
              <w:rPr>
                <w:sz w:val="18"/>
                <w:szCs w:val="16"/>
              </w:rPr>
            </w:pPr>
            <w:r>
              <w:t>2.680</w:t>
            </w:r>
          </w:p>
        </w:tc>
        <w:tc>
          <w:tcPr>
            <w:tcW w:w="720" w:type="dxa"/>
          </w:tcPr>
          <w:p w:rsidR="002C7F3B" w:rsidRPr="00D96146" w:rsidRDefault="006D7462" w:rsidP="00A2646F">
            <w:pPr>
              <w:cnfStyle w:val="000000100000" w:firstRow="0" w:lastRow="0" w:firstColumn="0" w:lastColumn="0" w:oddVBand="0" w:evenVBand="0" w:oddHBand="1" w:evenHBand="0" w:firstRowFirstColumn="0" w:firstRowLastColumn="0" w:lastRowFirstColumn="0" w:lastRowLastColumn="0"/>
              <w:rPr>
                <w:sz w:val="18"/>
                <w:szCs w:val="16"/>
              </w:rPr>
            </w:pPr>
            <w:r>
              <w:t>5.020</w:t>
            </w:r>
          </w:p>
        </w:tc>
      </w:tr>
    </w:tbl>
    <w:p w:rsidR="00194049" w:rsidRDefault="00194049" w:rsidP="00024F5D">
      <w:pPr>
        <w:pStyle w:val="Title"/>
      </w:pPr>
      <w:r>
        <w:lastRenderedPageBreak/>
        <w:br/>
      </w:r>
      <w:r>
        <w:br/>
      </w:r>
    </w:p>
    <w:p w:rsidR="00617FBA" w:rsidRDefault="00194049">
      <w:r>
        <w:br w:type="page"/>
      </w:r>
      <w:r w:rsidR="00617FBA">
        <w:rPr>
          <w:noProof/>
        </w:rPr>
        <w:lastRenderedPageBreak/>
        <w:drawing>
          <wp:inline distT="0" distB="0" distL="0" distR="0" wp14:anchorId="75F37216" wp14:editId="176CA0B1">
            <wp:extent cx="5847907" cy="4699591"/>
            <wp:effectExtent l="0" t="0" r="1968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17FBA" w:rsidRDefault="00617FBA">
      <w:r>
        <w:br w:type="page"/>
      </w:r>
    </w:p>
    <w:p w:rsidR="00A3743C" w:rsidRDefault="00024F5D" w:rsidP="00024F5D">
      <w:pPr>
        <w:pStyle w:val="Title"/>
      </w:pPr>
      <w:bookmarkStart w:id="0" w:name="_GoBack"/>
      <w:bookmarkEnd w:id="0"/>
      <w:r>
        <w:lastRenderedPageBreak/>
        <w:t>Resources</w:t>
      </w:r>
    </w:p>
    <w:p w:rsidR="00024F5D" w:rsidRDefault="00993315" w:rsidP="00993315">
      <w:pPr>
        <w:ind w:left="720" w:hanging="720"/>
      </w:pPr>
      <w:r>
        <w:t xml:space="preserve">"About." </w:t>
      </w:r>
      <w:r>
        <w:rPr>
          <w:i/>
          <w:iCs/>
        </w:rPr>
        <w:t>Tenet Healthcare</w:t>
      </w:r>
      <w:r>
        <w:t>. Web. 8 Dec 2011. &lt;http://www.tenethealth.com/about/pages/default.asp&amp;xgt;.</w:t>
      </w:r>
    </w:p>
    <w:p w:rsidR="00993315" w:rsidRDefault="00993315" w:rsidP="00993315">
      <w:pPr>
        <w:ind w:left="720" w:hanging="720"/>
      </w:pPr>
      <w:r>
        <w:t xml:space="preserve"> "Company History." </w:t>
      </w:r>
      <w:r>
        <w:rPr>
          <w:i/>
          <w:iCs/>
        </w:rPr>
        <w:t>First Energy Corp</w:t>
      </w:r>
      <w:r>
        <w:t>. 26 Feb 2011. Web. 8 Dec 2011. &lt;https://www.firstenergycorp.com/about/company_history.html&gt;.</w:t>
      </w:r>
    </w:p>
    <w:p w:rsidR="00993315" w:rsidRDefault="00993315" w:rsidP="00993315">
      <w:pPr>
        <w:ind w:left="720" w:hanging="720"/>
      </w:pPr>
      <w:r>
        <w:t xml:space="preserve">"Fishing Industry ETF." </w:t>
      </w:r>
      <w:r>
        <w:rPr>
          <w:i/>
          <w:iCs/>
        </w:rPr>
        <w:t>Global X Fishing Industry</w:t>
      </w:r>
      <w:r>
        <w:t>. Web. 8 Dec 2011. &lt;http://globalxfunds.com/fishingindustryetf/index.html&gt;.</w:t>
      </w:r>
    </w:p>
    <w:p w:rsidR="00993315" w:rsidRDefault="00993315" w:rsidP="00993315">
      <w:pPr>
        <w:ind w:left="720" w:hanging="720"/>
      </w:pPr>
      <w:r>
        <w:t xml:space="preserve"> "History." </w:t>
      </w:r>
      <w:r>
        <w:rPr>
          <w:i/>
          <w:iCs/>
        </w:rPr>
        <w:t>CVS Caremark</w:t>
      </w:r>
      <w:r>
        <w:t>. Web. 8 Dec 2011. &lt;http://info.cvscaremark.com/our-company/history&gt;.</w:t>
      </w:r>
    </w:p>
    <w:p w:rsidR="00993315" w:rsidRDefault="00993315" w:rsidP="00993315">
      <w:pPr>
        <w:ind w:left="720" w:hanging="720"/>
      </w:pPr>
      <w:r>
        <w:t xml:space="preserve">"Investing." </w:t>
      </w:r>
      <w:r>
        <w:rPr>
          <w:i/>
          <w:iCs/>
        </w:rPr>
        <w:t>Market Watch</w:t>
      </w:r>
      <w:r>
        <w:t>. Web. 8 Dec 2011.</w:t>
      </w:r>
    </w:p>
    <w:p w:rsidR="00993315" w:rsidRPr="00024F5D" w:rsidRDefault="00993315" w:rsidP="00993315">
      <w:pPr>
        <w:ind w:left="720" w:hanging="720"/>
      </w:pPr>
      <w:r>
        <w:t xml:space="preserve">"The Company." </w:t>
      </w:r>
      <w:r>
        <w:rPr>
          <w:i/>
          <w:iCs/>
        </w:rPr>
        <w:t>Ericsson</w:t>
      </w:r>
      <w:r>
        <w:t>. Web. 8 Dec 2011. &lt;http://www.ericsson.com/thecompany&gt;.</w:t>
      </w:r>
    </w:p>
    <w:sectPr w:rsidR="00993315" w:rsidRPr="00024F5D" w:rsidSect="00D96146">
      <w:headerReference w:type="default" r:id="rId2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5E" w:rsidRDefault="0081785E" w:rsidP="00915DDD">
      <w:pPr>
        <w:spacing w:after="0" w:line="240" w:lineRule="auto"/>
      </w:pPr>
      <w:r>
        <w:separator/>
      </w:r>
    </w:p>
  </w:endnote>
  <w:endnote w:type="continuationSeparator" w:id="0">
    <w:p w:rsidR="0081785E" w:rsidRDefault="0081785E" w:rsidP="0091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5E" w:rsidRDefault="0081785E" w:rsidP="00915DDD">
      <w:pPr>
        <w:spacing w:after="0" w:line="240" w:lineRule="auto"/>
      </w:pPr>
      <w:r>
        <w:separator/>
      </w:r>
    </w:p>
  </w:footnote>
  <w:footnote w:type="continuationSeparator" w:id="0">
    <w:p w:rsidR="0081785E" w:rsidRDefault="0081785E" w:rsidP="00915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97854"/>
      <w:docPartObj>
        <w:docPartGallery w:val="Page Numbers (Top of Page)"/>
        <w:docPartUnique/>
      </w:docPartObj>
    </w:sdtPr>
    <w:sdtEndPr>
      <w:rPr>
        <w:noProof/>
      </w:rPr>
    </w:sdtEndPr>
    <w:sdtContent>
      <w:p w:rsidR="00194049" w:rsidRDefault="00194049">
        <w:pPr>
          <w:pStyle w:val="Header"/>
          <w:jc w:val="right"/>
        </w:pPr>
        <w:r>
          <w:fldChar w:fldCharType="begin"/>
        </w:r>
        <w:r>
          <w:instrText xml:space="preserve"> PAGE   \* MERGEFORMAT </w:instrText>
        </w:r>
        <w:r>
          <w:fldChar w:fldCharType="separate"/>
        </w:r>
        <w:r w:rsidR="00617FBA">
          <w:rPr>
            <w:noProof/>
          </w:rPr>
          <w:t>9</w:t>
        </w:r>
        <w:r>
          <w:rPr>
            <w:noProof/>
          </w:rPr>
          <w:fldChar w:fldCharType="end"/>
        </w:r>
      </w:p>
    </w:sdtContent>
  </w:sdt>
  <w:p w:rsidR="00194049" w:rsidRDefault="0019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34E3E"/>
    <w:multiLevelType w:val="hybridMultilevel"/>
    <w:tmpl w:val="D5DE4A66"/>
    <w:lvl w:ilvl="0" w:tplc="BFD26FF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25"/>
    <w:rsid w:val="00024F5D"/>
    <w:rsid w:val="00093F80"/>
    <w:rsid w:val="000D5D3C"/>
    <w:rsid w:val="00143FC1"/>
    <w:rsid w:val="001919A7"/>
    <w:rsid w:val="00194049"/>
    <w:rsid w:val="001A4BE9"/>
    <w:rsid w:val="00203AAF"/>
    <w:rsid w:val="00277F2D"/>
    <w:rsid w:val="00282B28"/>
    <w:rsid w:val="002C7F3B"/>
    <w:rsid w:val="002F0280"/>
    <w:rsid w:val="00327F44"/>
    <w:rsid w:val="00417BA2"/>
    <w:rsid w:val="004E0829"/>
    <w:rsid w:val="005604E6"/>
    <w:rsid w:val="005B7365"/>
    <w:rsid w:val="005F009E"/>
    <w:rsid w:val="00617FBA"/>
    <w:rsid w:val="006349B9"/>
    <w:rsid w:val="00635C11"/>
    <w:rsid w:val="00645384"/>
    <w:rsid w:val="0066557D"/>
    <w:rsid w:val="006C396C"/>
    <w:rsid w:val="006D7462"/>
    <w:rsid w:val="007267E2"/>
    <w:rsid w:val="008009BC"/>
    <w:rsid w:val="0081785E"/>
    <w:rsid w:val="00830474"/>
    <w:rsid w:val="00840CB1"/>
    <w:rsid w:val="00893F9D"/>
    <w:rsid w:val="008A5F78"/>
    <w:rsid w:val="008E1602"/>
    <w:rsid w:val="008F500A"/>
    <w:rsid w:val="00915DDD"/>
    <w:rsid w:val="00957B66"/>
    <w:rsid w:val="00993315"/>
    <w:rsid w:val="009C4596"/>
    <w:rsid w:val="009F1689"/>
    <w:rsid w:val="00A2646F"/>
    <w:rsid w:val="00A3743C"/>
    <w:rsid w:val="00A43514"/>
    <w:rsid w:val="00A567CA"/>
    <w:rsid w:val="00AC7EA2"/>
    <w:rsid w:val="00AE6E25"/>
    <w:rsid w:val="00AF5D86"/>
    <w:rsid w:val="00B02323"/>
    <w:rsid w:val="00B158DD"/>
    <w:rsid w:val="00B53F51"/>
    <w:rsid w:val="00B84F0C"/>
    <w:rsid w:val="00BC64AC"/>
    <w:rsid w:val="00BD6311"/>
    <w:rsid w:val="00BE555D"/>
    <w:rsid w:val="00BE7781"/>
    <w:rsid w:val="00C12657"/>
    <w:rsid w:val="00C22BFB"/>
    <w:rsid w:val="00C81A4B"/>
    <w:rsid w:val="00C9417B"/>
    <w:rsid w:val="00D03D96"/>
    <w:rsid w:val="00D54DC1"/>
    <w:rsid w:val="00D61480"/>
    <w:rsid w:val="00D83A7B"/>
    <w:rsid w:val="00D96146"/>
    <w:rsid w:val="00DB43E4"/>
    <w:rsid w:val="00E02B22"/>
    <w:rsid w:val="00E22B23"/>
    <w:rsid w:val="00E467D2"/>
    <w:rsid w:val="00E503F9"/>
    <w:rsid w:val="00F07C1B"/>
    <w:rsid w:val="00F10FC3"/>
    <w:rsid w:val="00F13DC0"/>
    <w:rsid w:val="00FA4B3B"/>
    <w:rsid w:val="00FB0275"/>
    <w:rsid w:val="00FB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F78"/>
    <w:rPr>
      <w:color w:val="0000FF"/>
      <w:u w:val="single"/>
    </w:rPr>
  </w:style>
  <w:style w:type="table" w:styleId="TableGrid">
    <w:name w:val="Table Grid"/>
    <w:basedOn w:val="TableNormal"/>
    <w:uiPriority w:val="59"/>
    <w:rsid w:val="008A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5B73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5B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5B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B158DD"/>
    <w:pPr>
      <w:ind w:left="720"/>
      <w:contextualSpacing/>
    </w:pPr>
  </w:style>
  <w:style w:type="paragraph" w:styleId="Header">
    <w:name w:val="header"/>
    <w:basedOn w:val="Normal"/>
    <w:link w:val="HeaderChar"/>
    <w:uiPriority w:val="99"/>
    <w:unhideWhenUsed/>
    <w:rsid w:val="0091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DD"/>
  </w:style>
  <w:style w:type="paragraph" w:styleId="Footer">
    <w:name w:val="footer"/>
    <w:basedOn w:val="Normal"/>
    <w:link w:val="FooterChar"/>
    <w:uiPriority w:val="99"/>
    <w:unhideWhenUsed/>
    <w:rsid w:val="0091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DD"/>
  </w:style>
  <w:style w:type="character" w:customStyle="1" w:styleId="Heading1Char">
    <w:name w:val="Heading 1 Char"/>
    <w:basedOn w:val="DefaultParagraphFont"/>
    <w:link w:val="Heading1"/>
    <w:uiPriority w:val="9"/>
    <w:rsid w:val="00915DD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396C"/>
    <w:rPr>
      <w:color w:val="800080" w:themeColor="followedHyperlink"/>
      <w:u w:val="single"/>
    </w:rPr>
  </w:style>
  <w:style w:type="character" w:customStyle="1" w:styleId="Heading2Char">
    <w:name w:val="Heading 2 Char"/>
    <w:basedOn w:val="DefaultParagraphFont"/>
    <w:link w:val="Heading2"/>
    <w:uiPriority w:val="9"/>
    <w:rsid w:val="00C941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A2"/>
    <w:rPr>
      <w:rFonts w:ascii="Tahoma" w:hAnsi="Tahoma" w:cs="Tahoma"/>
      <w:sz w:val="16"/>
      <w:szCs w:val="16"/>
    </w:rPr>
  </w:style>
  <w:style w:type="table" w:styleId="LightShading-Accent5">
    <w:name w:val="Light Shading Accent 5"/>
    <w:basedOn w:val="TableNormal"/>
    <w:uiPriority w:val="60"/>
    <w:rsid w:val="00C126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C126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itle">
    <w:name w:val="Title"/>
    <w:basedOn w:val="Normal"/>
    <w:next w:val="Normal"/>
    <w:link w:val="TitleChar"/>
    <w:uiPriority w:val="10"/>
    <w:qFormat/>
    <w:rsid w:val="00024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F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F78"/>
    <w:rPr>
      <w:color w:val="0000FF"/>
      <w:u w:val="single"/>
    </w:rPr>
  </w:style>
  <w:style w:type="table" w:styleId="TableGrid">
    <w:name w:val="Table Grid"/>
    <w:basedOn w:val="TableNormal"/>
    <w:uiPriority w:val="59"/>
    <w:rsid w:val="008A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5B73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5B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5B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B158DD"/>
    <w:pPr>
      <w:ind w:left="720"/>
      <w:contextualSpacing/>
    </w:pPr>
  </w:style>
  <w:style w:type="paragraph" w:styleId="Header">
    <w:name w:val="header"/>
    <w:basedOn w:val="Normal"/>
    <w:link w:val="HeaderChar"/>
    <w:uiPriority w:val="99"/>
    <w:unhideWhenUsed/>
    <w:rsid w:val="0091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DD"/>
  </w:style>
  <w:style w:type="paragraph" w:styleId="Footer">
    <w:name w:val="footer"/>
    <w:basedOn w:val="Normal"/>
    <w:link w:val="FooterChar"/>
    <w:uiPriority w:val="99"/>
    <w:unhideWhenUsed/>
    <w:rsid w:val="0091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DD"/>
  </w:style>
  <w:style w:type="character" w:customStyle="1" w:styleId="Heading1Char">
    <w:name w:val="Heading 1 Char"/>
    <w:basedOn w:val="DefaultParagraphFont"/>
    <w:link w:val="Heading1"/>
    <w:uiPriority w:val="9"/>
    <w:rsid w:val="00915DD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396C"/>
    <w:rPr>
      <w:color w:val="800080" w:themeColor="followedHyperlink"/>
      <w:u w:val="single"/>
    </w:rPr>
  </w:style>
  <w:style w:type="character" w:customStyle="1" w:styleId="Heading2Char">
    <w:name w:val="Heading 2 Char"/>
    <w:basedOn w:val="DefaultParagraphFont"/>
    <w:link w:val="Heading2"/>
    <w:uiPriority w:val="9"/>
    <w:rsid w:val="00C941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A2"/>
    <w:rPr>
      <w:rFonts w:ascii="Tahoma" w:hAnsi="Tahoma" w:cs="Tahoma"/>
      <w:sz w:val="16"/>
      <w:szCs w:val="16"/>
    </w:rPr>
  </w:style>
  <w:style w:type="table" w:styleId="LightShading-Accent5">
    <w:name w:val="Light Shading Accent 5"/>
    <w:basedOn w:val="TableNormal"/>
    <w:uiPriority w:val="60"/>
    <w:rsid w:val="00C126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C126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itle">
    <w:name w:val="Title"/>
    <w:basedOn w:val="Normal"/>
    <w:next w:val="Normal"/>
    <w:link w:val="TitleChar"/>
    <w:uiPriority w:val="10"/>
    <w:qFormat/>
    <w:rsid w:val="00024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F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8654">
      <w:bodyDiv w:val="1"/>
      <w:marLeft w:val="0"/>
      <w:marRight w:val="0"/>
      <w:marTop w:val="0"/>
      <w:marBottom w:val="0"/>
      <w:divBdr>
        <w:top w:val="none" w:sz="0" w:space="0" w:color="auto"/>
        <w:left w:val="none" w:sz="0" w:space="0" w:color="auto"/>
        <w:bottom w:val="none" w:sz="0" w:space="0" w:color="auto"/>
        <w:right w:val="none" w:sz="0" w:space="0" w:color="auto"/>
      </w:divBdr>
    </w:div>
    <w:div w:id="1401781543">
      <w:bodyDiv w:val="1"/>
      <w:marLeft w:val="0"/>
      <w:marRight w:val="0"/>
      <w:marTop w:val="0"/>
      <w:marBottom w:val="0"/>
      <w:divBdr>
        <w:top w:val="none" w:sz="0" w:space="0" w:color="auto"/>
        <w:left w:val="none" w:sz="0" w:space="0" w:color="auto"/>
        <w:bottom w:val="none" w:sz="0" w:space="0" w:color="auto"/>
        <w:right w:val="none" w:sz="0" w:space="0" w:color="auto"/>
      </w:divBdr>
    </w:div>
    <w:div w:id="1501658489">
      <w:bodyDiv w:val="1"/>
      <w:marLeft w:val="0"/>
      <w:marRight w:val="0"/>
      <w:marTop w:val="0"/>
      <w:marBottom w:val="0"/>
      <w:divBdr>
        <w:top w:val="none" w:sz="0" w:space="0" w:color="auto"/>
        <w:left w:val="none" w:sz="0" w:space="0" w:color="auto"/>
        <w:bottom w:val="none" w:sz="0" w:space="0" w:color="auto"/>
        <w:right w:val="none" w:sz="0" w:space="0" w:color="auto"/>
      </w:divBdr>
    </w:div>
    <w:div w:id="1961913404">
      <w:bodyDiv w:val="1"/>
      <w:marLeft w:val="0"/>
      <w:marRight w:val="0"/>
      <w:marTop w:val="0"/>
      <w:marBottom w:val="0"/>
      <w:divBdr>
        <w:top w:val="none" w:sz="0" w:space="0" w:color="auto"/>
        <w:left w:val="none" w:sz="0" w:space="0" w:color="auto"/>
        <w:bottom w:val="none" w:sz="0" w:space="0" w:color="auto"/>
        <w:right w:val="none" w:sz="0" w:space="0" w:color="auto"/>
      </w:divBdr>
      <w:divsChild>
        <w:div w:id="116139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watch.com/investing/stock/ERIC" TargetMode="External"/><Relationship Id="rId18" Type="http://schemas.openxmlformats.org/officeDocument/2006/relationships/hyperlink" Target="http://www.marketwatch.com/investing/stock/GE"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marketwatch.com/investing/stock/JHGIX" TargetMode="External"/><Relationship Id="rId7" Type="http://schemas.openxmlformats.org/officeDocument/2006/relationships/footnotes" Target="footnotes.xml"/><Relationship Id="rId12" Type="http://schemas.openxmlformats.org/officeDocument/2006/relationships/hyperlink" Target="http://www.marketwatch.com/investing/stock/DIS" TargetMode="External"/><Relationship Id="rId17" Type="http://schemas.openxmlformats.org/officeDocument/2006/relationships/hyperlink" Target="http://www.marketwatch.com/investing/stock/FISN" TargetMode="External"/><Relationship Id="rId25" Type="http://schemas.openxmlformats.org/officeDocument/2006/relationships/hyperlink" Target="http://www.marketwatch.com/investing/stock/THC" TargetMode="External"/><Relationship Id="rId2" Type="http://schemas.openxmlformats.org/officeDocument/2006/relationships/numbering" Target="numbering.xml"/><Relationship Id="rId16" Type="http://schemas.openxmlformats.org/officeDocument/2006/relationships/hyperlink" Target="http://www.marketwatch.com/investing/stock/FISN" TargetMode="External"/><Relationship Id="rId20" Type="http://schemas.openxmlformats.org/officeDocument/2006/relationships/hyperlink" Target="http://www.marketwatch.com/investing/stock/JEIB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watch.com/investing/stock/CVS" TargetMode="External"/><Relationship Id="rId24" Type="http://schemas.openxmlformats.org/officeDocument/2006/relationships/hyperlink" Target="http://www.marketwatch.com/investing/stock/SLE" TargetMode="External"/><Relationship Id="rId5" Type="http://schemas.openxmlformats.org/officeDocument/2006/relationships/settings" Target="settings.xml"/><Relationship Id="rId15" Type="http://schemas.openxmlformats.org/officeDocument/2006/relationships/hyperlink" Target="http://www.marketwatch.com/investing/stock/FE" TargetMode="External"/><Relationship Id="rId23" Type="http://schemas.openxmlformats.org/officeDocument/2006/relationships/hyperlink" Target="http://www.marketwatch.com/investing/stock/RJET" TargetMode="External"/><Relationship Id="rId28" Type="http://schemas.openxmlformats.org/officeDocument/2006/relationships/fontTable" Target="fontTable.xml"/><Relationship Id="rId10" Type="http://schemas.openxmlformats.org/officeDocument/2006/relationships/hyperlink" Target="http://www.marketwatch.com/investing/stock/CFMOX" TargetMode="External"/><Relationship Id="rId19" Type="http://schemas.openxmlformats.org/officeDocument/2006/relationships/hyperlink" Target="http://www.marketwatch.com/investing/stock/GE" TargetMode="External"/><Relationship Id="rId4" Type="http://schemas.microsoft.com/office/2007/relationships/stylesWithEffects" Target="stylesWithEffects.xml"/><Relationship Id="rId9" Type="http://schemas.openxmlformats.org/officeDocument/2006/relationships/hyperlink" Target="http://www.marketwatch.com/investing/stock/ASGN" TargetMode="External"/><Relationship Id="rId14" Type="http://schemas.openxmlformats.org/officeDocument/2006/relationships/hyperlink" Target="http://www.marketwatch.com/investing/stock/ERIC" TargetMode="External"/><Relationship Id="rId22" Type="http://schemas.openxmlformats.org/officeDocument/2006/relationships/hyperlink" Target="http://www.marketwatch.com/investing/stock/JWN"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c:f>
              <c:strCache>
                <c:ptCount val="1"/>
                <c:pt idx="0">
                  <c:v>ASGN</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Sheet1!$C$3:$C$26</c:f>
              <c:numCache>
                <c:formatCode>General</c:formatCode>
                <c:ptCount val="24"/>
                <c:pt idx="0">
                  <c:v>10.46</c:v>
                </c:pt>
                <c:pt idx="1">
                  <c:v>10.66</c:v>
                </c:pt>
                <c:pt idx="2">
                  <c:v>10.6</c:v>
                </c:pt>
                <c:pt idx="3">
                  <c:v>10.34</c:v>
                </c:pt>
                <c:pt idx="4">
                  <c:v>10.01</c:v>
                </c:pt>
                <c:pt idx="5">
                  <c:v>10.42</c:v>
                </c:pt>
                <c:pt idx="6">
                  <c:v>9.8800000000000008</c:v>
                </c:pt>
                <c:pt idx="7">
                  <c:v>10.06</c:v>
                </c:pt>
                <c:pt idx="8">
                  <c:v>9.35</c:v>
                </c:pt>
                <c:pt idx="9">
                  <c:v>9.94</c:v>
                </c:pt>
                <c:pt idx="10">
                  <c:v>10.48</c:v>
                </c:pt>
                <c:pt idx="11">
                  <c:v>10.37</c:v>
                </c:pt>
                <c:pt idx="12">
                  <c:v>10.75</c:v>
                </c:pt>
                <c:pt idx="13">
                  <c:v>10.39</c:v>
                </c:pt>
                <c:pt idx="14">
                  <c:v>10.56</c:v>
                </c:pt>
                <c:pt idx="15">
                  <c:v>10.98</c:v>
                </c:pt>
                <c:pt idx="16">
                  <c:v>10.86</c:v>
                </c:pt>
                <c:pt idx="17">
                  <c:v>10.99</c:v>
                </c:pt>
                <c:pt idx="18">
                  <c:v>10.81</c:v>
                </c:pt>
                <c:pt idx="19">
                  <c:v>10.36</c:v>
                </c:pt>
                <c:pt idx="20">
                  <c:v>10.97</c:v>
                </c:pt>
                <c:pt idx="21">
                  <c:v>10.63</c:v>
                </c:pt>
                <c:pt idx="22">
                  <c:v>10.56</c:v>
                </c:pt>
                <c:pt idx="23">
                  <c:v>10.69</c:v>
                </c:pt>
              </c:numCache>
            </c:numRef>
          </c:val>
          <c:smooth val="0"/>
        </c:ser>
        <c:ser>
          <c:idx val="1"/>
          <c:order val="1"/>
          <c:tx>
            <c:strRef>
              <c:f>Sheet1!$D$2</c:f>
              <c:strCache>
                <c:ptCount val="1"/>
                <c:pt idx="0">
                  <c:v>CFMOX</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Sheet1!$D$3:$D$26</c:f>
              <c:numCache>
                <c:formatCode>General</c:formatCode>
                <c:ptCount val="24"/>
                <c:pt idx="0">
                  <c:v>19.82</c:v>
                </c:pt>
                <c:pt idx="1">
                  <c:v>19.77</c:v>
                </c:pt>
                <c:pt idx="2">
                  <c:v>19.71</c:v>
                </c:pt>
                <c:pt idx="3">
                  <c:v>19.7</c:v>
                </c:pt>
                <c:pt idx="4">
                  <c:v>19.75</c:v>
                </c:pt>
                <c:pt idx="5">
                  <c:v>19.760000000000002</c:v>
                </c:pt>
                <c:pt idx="6">
                  <c:v>19.760000000000002</c:v>
                </c:pt>
                <c:pt idx="7">
                  <c:v>19.760000000000002</c:v>
                </c:pt>
                <c:pt idx="8">
                  <c:v>19.78</c:v>
                </c:pt>
                <c:pt idx="9">
                  <c:v>19.78</c:v>
                </c:pt>
                <c:pt idx="10">
                  <c:v>19.77</c:v>
                </c:pt>
                <c:pt idx="11">
                  <c:v>19.77</c:v>
                </c:pt>
                <c:pt idx="12">
                  <c:v>19.75</c:v>
                </c:pt>
                <c:pt idx="13">
                  <c:v>19.73</c:v>
                </c:pt>
                <c:pt idx="14">
                  <c:v>19.71</c:v>
                </c:pt>
                <c:pt idx="15">
                  <c:v>19.71</c:v>
                </c:pt>
                <c:pt idx="16">
                  <c:v>19.739999999999998</c:v>
                </c:pt>
                <c:pt idx="17">
                  <c:v>19.760000000000002</c:v>
                </c:pt>
                <c:pt idx="18">
                  <c:v>19.760000000000002</c:v>
                </c:pt>
                <c:pt idx="19">
                  <c:v>19.77</c:v>
                </c:pt>
                <c:pt idx="20">
                  <c:v>19.739999999999998</c:v>
                </c:pt>
                <c:pt idx="21">
                  <c:v>19.75</c:v>
                </c:pt>
                <c:pt idx="22">
                  <c:v>19.739999999999998</c:v>
                </c:pt>
                <c:pt idx="23">
                  <c:v>19.739999999999998</c:v>
                </c:pt>
              </c:numCache>
            </c:numRef>
          </c:val>
          <c:smooth val="0"/>
        </c:ser>
        <c:ser>
          <c:idx val="2"/>
          <c:order val="2"/>
          <c:tx>
            <c:strRef>
              <c:f>Sheet1!$E$2</c:f>
              <c:strCache>
                <c:ptCount val="1"/>
                <c:pt idx="0">
                  <c:v>CVS</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Sheet1!$E$3:$E$26</c:f>
              <c:numCache>
                <c:formatCode>General</c:formatCode>
                <c:ptCount val="24"/>
                <c:pt idx="0">
                  <c:v>38.32</c:v>
                </c:pt>
                <c:pt idx="1">
                  <c:v>38.270000000000003</c:v>
                </c:pt>
                <c:pt idx="2">
                  <c:v>38.33</c:v>
                </c:pt>
                <c:pt idx="3">
                  <c:v>38.29</c:v>
                </c:pt>
                <c:pt idx="4">
                  <c:v>38.479999999999997</c:v>
                </c:pt>
                <c:pt idx="5">
                  <c:v>38.840000000000003</c:v>
                </c:pt>
                <c:pt idx="6">
                  <c:v>37.68</c:v>
                </c:pt>
                <c:pt idx="7">
                  <c:v>37.380000000000003</c:v>
                </c:pt>
                <c:pt idx="8">
                  <c:v>36.85</c:v>
                </c:pt>
                <c:pt idx="9">
                  <c:v>37.04</c:v>
                </c:pt>
                <c:pt idx="10">
                  <c:v>37.6</c:v>
                </c:pt>
                <c:pt idx="11">
                  <c:v>37.72</c:v>
                </c:pt>
                <c:pt idx="12">
                  <c:v>38.159999999999997</c:v>
                </c:pt>
                <c:pt idx="13">
                  <c:v>38.479999999999997</c:v>
                </c:pt>
                <c:pt idx="14">
                  <c:v>38.479999999999997</c:v>
                </c:pt>
                <c:pt idx="15">
                  <c:v>38.950000000000003</c:v>
                </c:pt>
                <c:pt idx="16">
                  <c:v>38.770000000000003</c:v>
                </c:pt>
                <c:pt idx="17">
                  <c:v>39.24</c:v>
                </c:pt>
                <c:pt idx="18">
                  <c:v>38.5</c:v>
                </c:pt>
                <c:pt idx="19">
                  <c:v>38.39</c:v>
                </c:pt>
                <c:pt idx="20">
                  <c:v>39.04</c:v>
                </c:pt>
                <c:pt idx="21">
                  <c:v>38.229999999999997</c:v>
                </c:pt>
                <c:pt idx="22">
                  <c:v>38.020000000000003</c:v>
                </c:pt>
                <c:pt idx="23">
                  <c:v>37.31</c:v>
                </c:pt>
              </c:numCache>
            </c:numRef>
          </c:val>
          <c:smooth val="0"/>
        </c:ser>
        <c:ser>
          <c:idx val="3"/>
          <c:order val="3"/>
          <c:tx>
            <c:strRef>
              <c:f>Sheet1!$F$2</c:f>
              <c:strCache>
                <c:ptCount val="1"/>
                <c:pt idx="0">
                  <c:v>DIS</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Sheet1!$F$3:$F$26</c:f>
              <c:numCache>
                <c:formatCode>General</c:formatCode>
                <c:ptCount val="24"/>
                <c:pt idx="0">
                  <c:v>37.31</c:v>
                </c:pt>
                <c:pt idx="1">
                  <c:v>36.83</c:v>
                </c:pt>
                <c:pt idx="2">
                  <c:v>36.94</c:v>
                </c:pt>
                <c:pt idx="3">
                  <c:v>36.61</c:v>
                </c:pt>
                <c:pt idx="4">
                  <c:v>35.99</c:v>
                </c:pt>
                <c:pt idx="5">
                  <c:v>35.85</c:v>
                </c:pt>
                <c:pt idx="6">
                  <c:v>34</c:v>
                </c:pt>
                <c:pt idx="7">
                  <c:v>34.07</c:v>
                </c:pt>
                <c:pt idx="8">
                  <c:v>33.51</c:v>
                </c:pt>
                <c:pt idx="9">
                  <c:v>33.4</c:v>
                </c:pt>
                <c:pt idx="10">
                  <c:v>34.020000000000003</c:v>
                </c:pt>
                <c:pt idx="11">
                  <c:v>34.33</c:v>
                </c:pt>
                <c:pt idx="12">
                  <c:v>35.630000000000003</c:v>
                </c:pt>
                <c:pt idx="13">
                  <c:v>35.15</c:v>
                </c:pt>
                <c:pt idx="14">
                  <c:v>35.53</c:v>
                </c:pt>
                <c:pt idx="15">
                  <c:v>36.450000000000003</c:v>
                </c:pt>
                <c:pt idx="16">
                  <c:v>36.119999999999997</c:v>
                </c:pt>
                <c:pt idx="17">
                  <c:v>36.700000000000003</c:v>
                </c:pt>
                <c:pt idx="18">
                  <c:v>34.64</c:v>
                </c:pt>
                <c:pt idx="19">
                  <c:v>33.79</c:v>
                </c:pt>
                <c:pt idx="20">
                  <c:v>35.29</c:v>
                </c:pt>
                <c:pt idx="21">
                  <c:v>35.15</c:v>
                </c:pt>
                <c:pt idx="22">
                  <c:v>34.76</c:v>
                </c:pt>
                <c:pt idx="23">
                  <c:v>35.03</c:v>
                </c:pt>
              </c:numCache>
            </c:numRef>
          </c:val>
          <c:smooth val="0"/>
        </c:ser>
        <c:ser>
          <c:idx val="4"/>
          <c:order val="4"/>
          <c:tx>
            <c:strRef>
              <c:f>Sheet1!$G$2</c:f>
              <c:strCache>
                <c:ptCount val="1"/>
                <c:pt idx="0">
                  <c:v>ERIC</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Sheet1!$G$3:$G$26</c:f>
              <c:numCache>
                <c:formatCode>General</c:formatCode>
                <c:ptCount val="24"/>
                <c:pt idx="0">
                  <c:v>10.46</c:v>
                </c:pt>
                <c:pt idx="1">
                  <c:v>10.39</c:v>
                </c:pt>
                <c:pt idx="2">
                  <c:v>10.38</c:v>
                </c:pt>
                <c:pt idx="3">
                  <c:v>10.210000000000001</c:v>
                </c:pt>
                <c:pt idx="4">
                  <c:v>10.44</c:v>
                </c:pt>
                <c:pt idx="5">
                  <c:v>10.63</c:v>
                </c:pt>
                <c:pt idx="6">
                  <c:v>9.83</c:v>
                </c:pt>
                <c:pt idx="7">
                  <c:v>9.7100000000000009</c:v>
                </c:pt>
                <c:pt idx="8">
                  <c:v>9.17</c:v>
                </c:pt>
                <c:pt idx="9">
                  <c:v>9.51</c:v>
                </c:pt>
                <c:pt idx="10">
                  <c:v>9.6999999999999993</c:v>
                </c:pt>
                <c:pt idx="11">
                  <c:v>9.6999999999999993</c:v>
                </c:pt>
                <c:pt idx="12">
                  <c:v>9.9149999999999991</c:v>
                </c:pt>
                <c:pt idx="13">
                  <c:v>10.1</c:v>
                </c:pt>
                <c:pt idx="14">
                  <c:v>10</c:v>
                </c:pt>
                <c:pt idx="15">
                  <c:v>10.220000000000001</c:v>
                </c:pt>
                <c:pt idx="16">
                  <c:v>10.17</c:v>
                </c:pt>
                <c:pt idx="17">
                  <c:v>10.27</c:v>
                </c:pt>
                <c:pt idx="18">
                  <c:v>9.9499999999999993</c:v>
                </c:pt>
                <c:pt idx="19">
                  <c:v>10.02</c:v>
                </c:pt>
                <c:pt idx="20">
                  <c:v>10.82</c:v>
                </c:pt>
                <c:pt idx="21">
                  <c:v>10.8</c:v>
                </c:pt>
                <c:pt idx="22">
                  <c:v>10.61</c:v>
                </c:pt>
                <c:pt idx="23">
                  <c:v>10.84</c:v>
                </c:pt>
              </c:numCache>
            </c:numRef>
          </c:val>
          <c:smooth val="0"/>
        </c:ser>
        <c:ser>
          <c:idx val="5"/>
          <c:order val="5"/>
          <c:tx>
            <c:strRef>
              <c:f>Sheet1!$H$2</c:f>
              <c:strCache>
                <c:ptCount val="1"/>
                <c:pt idx="0">
                  <c:v>FE</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Sheet1!$H$3:$H$26</c:f>
              <c:numCache>
                <c:formatCode>General</c:formatCode>
                <c:ptCount val="24"/>
                <c:pt idx="0">
                  <c:v>45.21</c:v>
                </c:pt>
                <c:pt idx="1">
                  <c:v>45.04</c:v>
                </c:pt>
                <c:pt idx="2">
                  <c:v>44.63</c:v>
                </c:pt>
                <c:pt idx="3">
                  <c:v>44.29</c:v>
                </c:pt>
                <c:pt idx="4">
                  <c:v>44.69</c:v>
                </c:pt>
                <c:pt idx="5">
                  <c:v>44.47</c:v>
                </c:pt>
                <c:pt idx="6">
                  <c:v>43.24</c:v>
                </c:pt>
                <c:pt idx="7">
                  <c:v>42.75</c:v>
                </c:pt>
                <c:pt idx="8">
                  <c:v>41.94</c:v>
                </c:pt>
                <c:pt idx="9">
                  <c:v>41.86</c:v>
                </c:pt>
                <c:pt idx="10">
                  <c:v>42.69</c:v>
                </c:pt>
                <c:pt idx="11">
                  <c:v>43.54</c:v>
                </c:pt>
                <c:pt idx="12">
                  <c:v>44.28</c:v>
                </c:pt>
                <c:pt idx="13">
                  <c:v>43.87</c:v>
                </c:pt>
                <c:pt idx="14">
                  <c:v>44.76</c:v>
                </c:pt>
                <c:pt idx="15">
                  <c:v>45.51</c:v>
                </c:pt>
                <c:pt idx="16">
                  <c:v>44.72</c:v>
                </c:pt>
                <c:pt idx="17">
                  <c:v>45.45</c:v>
                </c:pt>
                <c:pt idx="18">
                  <c:v>44.75</c:v>
                </c:pt>
                <c:pt idx="19">
                  <c:v>44.74</c:v>
                </c:pt>
                <c:pt idx="20">
                  <c:v>46</c:v>
                </c:pt>
                <c:pt idx="21">
                  <c:v>45.67</c:v>
                </c:pt>
                <c:pt idx="22">
                  <c:v>45.51</c:v>
                </c:pt>
                <c:pt idx="23">
                  <c:v>45.76</c:v>
                </c:pt>
              </c:numCache>
            </c:numRef>
          </c:val>
          <c:smooth val="0"/>
        </c:ser>
        <c:ser>
          <c:idx val="6"/>
          <c:order val="6"/>
          <c:tx>
            <c:strRef>
              <c:f>Sheet1!$I$2</c:f>
              <c:strCache>
                <c:ptCount val="1"/>
                <c:pt idx="0">
                  <c:v>GE</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Sheet1!$I$3:$I$26</c:f>
              <c:numCache>
                <c:formatCode>General</c:formatCode>
                <c:ptCount val="24"/>
                <c:pt idx="0">
                  <c:v>16.739999999999998</c:v>
                </c:pt>
                <c:pt idx="1">
                  <c:v>16.72</c:v>
                </c:pt>
                <c:pt idx="2">
                  <c:v>16.329999999999998</c:v>
                </c:pt>
                <c:pt idx="3">
                  <c:v>16.09</c:v>
                </c:pt>
                <c:pt idx="4">
                  <c:v>15.91</c:v>
                </c:pt>
                <c:pt idx="5">
                  <c:v>15.91</c:v>
                </c:pt>
                <c:pt idx="6">
                  <c:v>14.92</c:v>
                </c:pt>
                <c:pt idx="7">
                  <c:v>14.8</c:v>
                </c:pt>
                <c:pt idx="8">
                  <c:v>14.7</c:v>
                </c:pt>
                <c:pt idx="9">
                  <c:v>14.73</c:v>
                </c:pt>
                <c:pt idx="10">
                  <c:v>14.99</c:v>
                </c:pt>
                <c:pt idx="11">
                  <c:v>15.24</c:v>
                </c:pt>
                <c:pt idx="12">
                  <c:v>15.65</c:v>
                </c:pt>
                <c:pt idx="13">
                  <c:v>15.64</c:v>
                </c:pt>
                <c:pt idx="14">
                  <c:v>15.95</c:v>
                </c:pt>
                <c:pt idx="15">
                  <c:v>16.2</c:v>
                </c:pt>
                <c:pt idx="16">
                  <c:v>16.100000000000001</c:v>
                </c:pt>
                <c:pt idx="17">
                  <c:v>16.3</c:v>
                </c:pt>
                <c:pt idx="18">
                  <c:v>16.059999999999999</c:v>
                </c:pt>
                <c:pt idx="19">
                  <c:v>15.85</c:v>
                </c:pt>
                <c:pt idx="20">
                  <c:v>16.48</c:v>
                </c:pt>
                <c:pt idx="21">
                  <c:v>16.39</c:v>
                </c:pt>
                <c:pt idx="22">
                  <c:v>16.39</c:v>
                </c:pt>
                <c:pt idx="23">
                  <c:v>16.670000000000002</c:v>
                </c:pt>
              </c:numCache>
            </c:numRef>
          </c:val>
          <c:smooth val="0"/>
        </c:ser>
        <c:ser>
          <c:idx val="7"/>
          <c:order val="7"/>
          <c:tx>
            <c:strRef>
              <c:f>Sheet1!$J$2</c:f>
              <c:strCache>
                <c:ptCount val="1"/>
                <c:pt idx="0">
                  <c:v>JEIBX</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Sheet1!$J$3:$J$26</c:f>
              <c:numCache>
                <c:formatCode>General</c:formatCode>
                <c:ptCount val="24"/>
                <c:pt idx="0">
                  <c:v>12.36</c:v>
                </c:pt>
                <c:pt idx="1">
                  <c:v>12.35</c:v>
                </c:pt>
                <c:pt idx="2">
                  <c:v>12.31</c:v>
                </c:pt>
                <c:pt idx="3">
                  <c:v>12.18</c:v>
                </c:pt>
                <c:pt idx="4">
                  <c:v>12.21</c:v>
                </c:pt>
                <c:pt idx="5">
                  <c:v>12.23</c:v>
                </c:pt>
                <c:pt idx="6">
                  <c:v>11.8</c:v>
                </c:pt>
                <c:pt idx="7">
                  <c:v>11.76</c:v>
                </c:pt>
                <c:pt idx="8">
                  <c:v>11.44</c:v>
                </c:pt>
                <c:pt idx="9">
                  <c:v>11.45</c:v>
                </c:pt>
                <c:pt idx="10">
                  <c:v>11.72</c:v>
                </c:pt>
                <c:pt idx="11">
                  <c:v>11.74</c:v>
                </c:pt>
                <c:pt idx="12">
                  <c:v>11.94</c:v>
                </c:pt>
                <c:pt idx="13">
                  <c:v>11.94</c:v>
                </c:pt>
                <c:pt idx="14">
                  <c:v>12.1</c:v>
                </c:pt>
                <c:pt idx="15">
                  <c:v>12.26</c:v>
                </c:pt>
                <c:pt idx="16">
                  <c:v>12.2</c:v>
                </c:pt>
                <c:pt idx="17">
                  <c:v>12.34</c:v>
                </c:pt>
                <c:pt idx="18">
                  <c:v>12.15</c:v>
                </c:pt>
                <c:pt idx="19">
                  <c:v>12.07</c:v>
                </c:pt>
                <c:pt idx="20">
                  <c:v>12.52</c:v>
                </c:pt>
                <c:pt idx="21">
                  <c:v>12.37</c:v>
                </c:pt>
                <c:pt idx="22">
                  <c:v>12.32</c:v>
                </c:pt>
                <c:pt idx="23">
                  <c:v>12.41</c:v>
                </c:pt>
              </c:numCache>
            </c:numRef>
          </c:val>
          <c:smooth val="0"/>
        </c:ser>
        <c:ser>
          <c:idx val="8"/>
          <c:order val="8"/>
          <c:tx>
            <c:strRef>
              <c:f>Sheet1!$K$2</c:f>
              <c:strCache>
                <c:ptCount val="1"/>
                <c:pt idx="0">
                  <c:v>JHGIX</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Sheet1!$K$3:$K$26</c:f>
              <c:numCache>
                <c:formatCode>General</c:formatCode>
                <c:ptCount val="24"/>
                <c:pt idx="0">
                  <c:v>9.81</c:v>
                </c:pt>
                <c:pt idx="1">
                  <c:v>9.81</c:v>
                </c:pt>
                <c:pt idx="2">
                  <c:v>9.81</c:v>
                </c:pt>
                <c:pt idx="3">
                  <c:v>9.81</c:v>
                </c:pt>
                <c:pt idx="4">
                  <c:v>9.7899999999999991</c:v>
                </c:pt>
                <c:pt idx="5">
                  <c:v>9.7899999999999991</c:v>
                </c:pt>
                <c:pt idx="6">
                  <c:v>9.7899999999999991</c:v>
                </c:pt>
                <c:pt idx="7">
                  <c:v>9.7899999999999991</c:v>
                </c:pt>
                <c:pt idx="8">
                  <c:v>9.7899999999999991</c:v>
                </c:pt>
                <c:pt idx="9">
                  <c:v>9.8000000000000007</c:v>
                </c:pt>
                <c:pt idx="10">
                  <c:v>9.8000000000000007</c:v>
                </c:pt>
                <c:pt idx="11">
                  <c:v>9.8000000000000007</c:v>
                </c:pt>
                <c:pt idx="12">
                  <c:v>9.8000000000000007</c:v>
                </c:pt>
                <c:pt idx="13">
                  <c:v>9.8000000000000007</c:v>
                </c:pt>
                <c:pt idx="14">
                  <c:v>9.8000000000000007</c:v>
                </c:pt>
                <c:pt idx="15">
                  <c:v>9.7899999999999991</c:v>
                </c:pt>
                <c:pt idx="16">
                  <c:v>9.7899999999999991</c:v>
                </c:pt>
                <c:pt idx="17">
                  <c:v>9.8000000000000007</c:v>
                </c:pt>
                <c:pt idx="18">
                  <c:v>9.8000000000000007</c:v>
                </c:pt>
                <c:pt idx="19">
                  <c:v>9.82</c:v>
                </c:pt>
                <c:pt idx="20">
                  <c:v>9.81</c:v>
                </c:pt>
                <c:pt idx="21">
                  <c:v>9.82</c:v>
                </c:pt>
                <c:pt idx="22">
                  <c:v>9.83</c:v>
                </c:pt>
                <c:pt idx="23">
                  <c:v>9.81</c:v>
                </c:pt>
              </c:numCache>
            </c:numRef>
          </c:val>
          <c:smooth val="0"/>
        </c:ser>
        <c:ser>
          <c:idx val="9"/>
          <c:order val="9"/>
          <c:tx>
            <c:strRef>
              <c:f>Sheet1!$L$2</c:f>
              <c:strCache>
                <c:ptCount val="1"/>
                <c:pt idx="0">
                  <c:v>JWN</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Sheet1!$L$3:$L$26</c:f>
              <c:numCache>
                <c:formatCode>General</c:formatCode>
                <c:ptCount val="24"/>
                <c:pt idx="0">
                  <c:v>47.12</c:v>
                </c:pt>
                <c:pt idx="1">
                  <c:v>47.36</c:v>
                </c:pt>
                <c:pt idx="2">
                  <c:v>48.13</c:v>
                </c:pt>
                <c:pt idx="3">
                  <c:v>47.17</c:v>
                </c:pt>
                <c:pt idx="4">
                  <c:v>47.1</c:v>
                </c:pt>
                <c:pt idx="5">
                  <c:v>45.28</c:v>
                </c:pt>
                <c:pt idx="6">
                  <c:v>44.66</c:v>
                </c:pt>
                <c:pt idx="7">
                  <c:v>45.19</c:v>
                </c:pt>
                <c:pt idx="8">
                  <c:v>44.29</c:v>
                </c:pt>
                <c:pt idx="9">
                  <c:v>44.74</c:v>
                </c:pt>
                <c:pt idx="10">
                  <c:v>45.73</c:v>
                </c:pt>
                <c:pt idx="11">
                  <c:v>46.31</c:v>
                </c:pt>
                <c:pt idx="12">
                  <c:v>46.98</c:v>
                </c:pt>
                <c:pt idx="13">
                  <c:v>47.01</c:v>
                </c:pt>
                <c:pt idx="14">
                  <c:v>48.13</c:v>
                </c:pt>
                <c:pt idx="15">
                  <c:v>49.3</c:v>
                </c:pt>
                <c:pt idx="16">
                  <c:v>49.09</c:v>
                </c:pt>
                <c:pt idx="17">
                  <c:v>49.48</c:v>
                </c:pt>
                <c:pt idx="18">
                  <c:v>49.62</c:v>
                </c:pt>
                <c:pt idx="19">
                  <c:v>48.93</c:v>
                </c:pt>
                <c:pt idx="20">
                  <c:v>51.2</c:v>
                </c:pt>
                <c:pt idx="21">
                  <c:v>50.63</c:v>
                </c:pt>
                <c:pt idx="22">
                  <c:v>50.39</c:v>
                </c:pt>
                <c:pt idx="23">
                  <c:v>51.07</c:v>
                </c:pt>
              </c:numCache>
            </c:numRef>
          </c:val>
          <c:smooth val="0"/>
        </c:ser>
        <c:ser>
          <c:idx val="10"/>
          <c:order val="10"/>
          <c:tx>
            <c:strRef>
              <c:f>Sheet1!$M$2</c:f>
              <c:strCache>
                <c:ptCount val="1"/>
                <c:pt idx="0">
                  <c:v>RJET</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Sheet1!$M$3:$M$26</c:f>
              <c:numCache>
                <c:formatCode>General</c:formatCode>
                <c:ptCount val="24"/>
                <c:pt idx="0">
                  <c:v>3.95</c:v>
                </c:pt>
                <c:pt idx="1">
                  <c:v>3.79</c:v>
                </c:pt>
                <c:pt idx="2">
                  <c:v>3.83</c:v>
                </c:pt>
                <c:pt idx="3">
                  <c:v>3.79</c:v>
                </c:pt>
                <c:pt idx="4">
                  <c:v>3.83</c:v>
                </c:pt>
                <c:pt idx="5">
                  <c:v>3.83</c:v>
                </c:pt>
                <c:pt idx="6">
                  <c:v>3.72</c:v>
                </c:pt>
                <c:pt idx="7">
                  <c:v>3.94</c:v>
                </c:pt>
                <c:pt idx="8">
                  <c:v>3.83</c:v>
                </c:pt>
                <c:pt idx="9">
                  <c:v>3.77</c:v>
                </c:pt>
                <c:pt idx="10">
                  <c:v>4.1399999999999997</c:v>
                </c:pt>
                <c:pt idx="11">
                  <c:v>4.2</c:v>
                </c:pt>
                <c:pt idx="12">
                  <c:v>4.3</c:v>
                </c:pt>
                <c:pt idx="13">
                  <c:v>4.37</c:v>
                </c:pt>
                <c:pt idx="14">
                  <c:v>4.6399999999999997</c:v>
                </c:pt>
                <c:pt idx="15">
                  <c:v>4.0999999999999996</c:v>
                </c:pt>
                <c:pt idx="16">
                  <c:v>3.96</c:v>
                </c:pt>
                <c:pt idx="17">
                  <c:v>3.96</c:v>
                </c:pt>
                <c:pt idx="18">
                  <c:v>3.95</c:v>
                </c:pt>
                <c:pt idx="19">
                  <c:v>4.0199999999999996</c:v>
                </c:pt>
                <c:pt idx="20">
                  <c:v>4.34</c:v>
                </c:pt>
                <c:pt idx="21">
                  <c:v>2.69</c:v>
                </c:pt>
                <c:pt idx="22">
                  <c:v>2.71</c:v>
                </c:pt>
                <c:pt idx="23">
                  <c:v>2.68</c:v>
                </c:pt>
              </c:numCache>
            </c:numRef>
          </c:val>
          <c:smooth val="0"/>
        </c:ser>
        <c:ser>
          <c:idx val="11"/>
          <c:order val="11"/>
          <c:tx>
            <c:strRef>
              <c:f>Sheet1!$N$2</c:f>
              <c:strCache>
                <c:ptCount val="1"/>
                <c:pt idx="0">
                  <c:v>THC</c:v>
                </c:pt>
              </c:strCache>
            </c:strRef>
          </c:tx>
          <c:marker>
            <c:symbol val="none"/>
          </c:marker>
          <c:cat>
            <c:numRef>
              <c:f>Sheet1!$B$3:$B$26</c:f>
              <c:numCache>
                <c:formatCode>General</c:formatCode>
                <c:ptCount val="24"/>
                <c:pt idx="0">
                  <c:v>7</c:v>
                </c:pt>
                <c:pt idx="1">
                  <c:v>6</c:v>
                </c:pt>
                <c:pt idx="2">
                  <c:v>5</c:v>
                </c:pt>
                <c:pt idx="3">
                  <c:v>2</c:v>
                </c:pt>
                <c:pt idx="4">
                  <c:v>1</c:v>
                </c:pt>
                <c:pt idx="5">
                  <c:v>30</c:v>
                </c:pt>
                <c:pt idx="6">
                  <c:v>29</c:v>
                </c:pt>
                <c:pt idx="7">
                  <c:v>28</c:v>
                </c:pt>
                <c:pt idx="8">
                  <c:v>25</c:v>
                </c:pt>
                <c:pt idx="9">
                  <c:v>23</c:v>
                </c:pt>
                <c:pt idx="10">
                  <c:v>22</c:v>
                </c:pt>
                <c:pt idx="11">
                  <c:v>21</c:v>
                </c:pt>
                <c:pt idx="12">
                  <c:v>18</c:v>
                </c:pt>
                <c:pt idx="13">
                  <c:v>17</c:v>
                </c:pt>
                <c:pt idx="14">
                  <c:v>16</c:v>
                </c:pt>
                <c:pt idx="15">
                  <c:v>15</c:v>
                </c:pt>
                <c:pt idx="16">
                  <c:v>14</c:v>
                </c:pt>
                <c:pt idx="17">
                  <c:v>11</c:v>
                </c:pt>
                <c:pt idx="18">
                  <c:v>10</c:v>
                </c:pt>
                <c:pt idx="19">
                  <c:v>9</c:v>
                </c:pt>
                <c:pt idx="20">
                  <c:v>8</c:v>
                </c:pt>
                <c:pt idx="21">
                  <c:v>7</c:v>
                </c:pt>
                <c:pt idx="22">
                  <c:v>4</c:v>
                </c:pt>
                <c:pt idx="23">
                  <c:v>3</c:v>
                </c:pt>
              </c:numCache>
            </c:numRef>
          </c:cat>
          <c:val>
            <c:numRef>
              <c:f>Sheet1!$N$3:$N$26</c:f>
              <c:numCache>
                <c:formatCode>General</c:formatCode>
                <c:ptCount val="24"/>
                <c:pt idx="0">
                  <c:v>4.55</c:v>
                </c:pt>
                <c:pt idx="1">
                  <c:v>4.68</c:v>
                </c:pt>
                <c:pt idx="2">
                  <c:v>4.7</c:v>
                </c:pt>
                <c:pt idx="3">
                  <c:v>4.18</c:v>
                </c:pt>
                <c:pt idx="4">
                  <c:v>4.68</c:v>
                </c:pt>
                <c:pt idx="5">
                  <c:v>4.6500000000000004</c:v>
                </c:pt>
                <c:pt idx="6">
                  <c:v>4.3600000000000003</c:v>
                </c:pt>
                <c:pt idx="7">
                  <c:v>4.3600000000000003</c:v>
                </c:pt>
                <c:pt idx="8">
                  <c:v>4.17</c:v>
                </c:pt>
                <c:pt idx="9">
                  <c:v>4.12</c:v>
                </c:pt>
                <c:pt idx="10">
                  <c:v>4.28</c:v>
                </c:pt>
                <c:pt idx="11">
                  <c:v>4.3099999999999996</c:v>
                </c:pt>
                <c:pt idx="12">
                  <c:v>4.5</c:v>
                </c:pt>
                <c:pt idx="13">
                  <c:v>4.54</c:v>
                </c:pt>
                <c:pt idx="14">
                  <c:v>4.83</c:v>
                </c:pt>
                <c:pt idx="15">
                  <c:v>5.07</c:v>
                </c:pt>
                <c:pt idx="16">
                  <c:v>5.13</c:v>
                </c:pt>
                <c:pt idx="17">
                  <c:v>5.19</c:v>
                </c:pt>
                <c:pt idx="18">
                  <c:v>5.0599999999999996</c:v>
                </c:pt>
                <c:pt idx="19">
                  <c:v>5.0199999999999996</c:v>
                </c:pt>
                <c:pt idx="20">
                  <c:v>5.16</c:v>
                </c:pt>
                <c:pt idx="21">
                  <c:v>4.96</c:v>
                </c:pt>
                <c:pt idx="22">
                  <c:v>4.8600000000000003</c:v>
                </c:pt>
                <c:pt idx="23">
                  <c:v>5.0199999999999996</c:v>
                </c:pt>
              </c:numCache>
            </c:numRef>
          </c:val>
          <c:smooth val="0"/>
        </c:ser>
        <c:dLbls>
          <c:showLegendKey val="0"/>
          <c:showVal val="0"/>
          <c:showCatName val="0"/>
          <c:showSerName val="0"/>
          <c:showPercent val="0"/>
          <c:showBubbleSize val="0"/>
        </c:dLbls>
        <c:marker val="1"/>
        <c:smooth val="0"/>
        <c:axId val="221660672"/>
        <c:axId val="221662208"/>
      </c:lineChart>
      <c:catAx>
        <c:axId val="221660672"/>
        <c:scaling>
          <c:orientation val="minMax"/>
        </c:scaling>
        <c:delete val="0"/>
        <c:axPos val="b"/>
        <c:numFmt formatCode="General" sourceLinked="1"/>
        <c:majorTickMark val="out"/>
        <c:minorTickMark val="none"/>
        <c:tickLblPos val="nextTo"/>
        <c:crossAx val="221662208"/>
        <c:crosses val="autoZero"/>
        <c:auto val="1"/>
        <c:lblAlgn val="ctr"/>
        <c:lblOffset val="100"/>
        <c:noMultiLvlLbl val="0"/>
      </c:catAx>
      <c:valAx>
        <c:axId val="221662208"/>
        <c:scaling>
          <c:orientation val="minMax"/>
        </c:scaling>
        <c:delete val="0"/>
        <c:axPos val="l"/>
        <c:majorGridlines/>
        <c:numFmt formatCode="General" sourceLinked="1"/>
        <c:majorTickMark val="out"/>
        <c:minorTickMark val="none"/>
        <c:tickLblPos val="nextTo"/>
        <c:crossAx val="221660672"/>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765F-27A1-408D-8624-A9C194B2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Fisher</dc:creator>
  <cp:keywords/>
  <dc:description/>
  <cp:lastModifiedBy>Jessica Fisher</cp:lastModifiedBy>
  <cp:revision>60</cp:revision>
  <dcterms:created xsi:type="dcterms:W3CDTF">2011-12-08T01:14:00Z</dcterms:created>
  <dcterms:modified xsi:type="dcterms:W3CDTF">2011-12-10T01:01:00Z</dcterms:modified>
</cp:coreProperties>
</file>