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96" w:rsidRDefault="00EA1E09" w:rsidP="00576A96">
      <w:pPr>
        <w:jc w:val="center"/>
      </w:pPr>
      <w:r>
        <w:tab/>
      </w:r>
    </w:p>
    <w:p w:rsidR="00576A96" w:rsidRDefault="00576A96" w:rsidP="00576A96">
      <w:pPr>
        <w:jc w:val="center"/>
      </w:pPr>
    </w:p>
    <w:p w:rsidR="00576A96" w:rsidRDefault="00576A96" w:rsidP="00576A96">
      <w:pPr>
        <w:jc w:val="center"/>
      </w:pPr>
    </w:p>
    <w:p w:rsidR="00AD23F8" w:rsidRDefault="00AD23F8" w:rsidP="00576A96">
      <w:pPr>
        <w:jc w:val="center"/>
      </w:pPr>
    </w:p>
    <w:p w:rsidR="00AD23F8" w:rsidRDefault="00AD23F8" w:rsidP="00576A96">
      <w:pPr>
        <w:jc w:val="center"/>
      </w:pPr>
    </w:p>
    <w:p w:rsidR="00AD23F8" w:rsidRDefault="00AD23F8" w:rsidP="00576A96">
      <w:pPr>
        <w:jc w:val="center"/>
      </w:pPr>
      <w:r>
        <w:rPr>
          <w:noProof/>
          <w:lang w:eastAsia="en-US"/>
        </w:rPr>
        <w:drawing>
          <wp:inline distT="0" distB="0" distL="0" distR="0">
            <wp:extent cx="2629123" cy="2247900"/>
            <wp:effectExtent l="19050" t="0" r="0" b="0"/>
            <wp:docPr id="8" name="Picture 2" descr="http://upload.wikimedia.org/wikipedia/en/archive/f/f9/20100902024447!Niss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archive/f/f9/20100902024447!Nissan_Logo.jpg"/>
                    <pic:cNvPicPr>
                      <a:picLocks noChangeAspect="1" noChangeArrowheads="1"/>
                    </pic:cNvPicPr>
                  </pic:nvPicPr>
                  <pic:blipFill>
                    <a:blip r:embed="rId6" cstate="print"/>
                    <a:srcRect/>
                    <a:stretch>
                      <a:fillRect/>
                    </a:stretch>
                  </pic:blipFill>
                  <pic:spPr bwMode="auto">
                    <a:xfrm>
                      <a:off x="0" y="0"/>
                      <a:ext cx="2629123" cy="2247900"/>
                    </a:xfrm>
                    <a:prstGeom prst="rect">
                      <a:avLst/>
                    </a:prstGeom>
                    <a:noFill/>
                    <a:ln w="9525">
                      <a:noFill/>
                      <a:miter lim="800000"/>
                      <a:headEnd/>
                      <a:tailEnd/>
                    </a:ln>
                  </pic:spPr>
                </pic:pic>
              </a:graphicData>
            </a:graphic>
          </wp:inline>
        </w:drawing>
      </w:r>
    </w:p>
    <w:p w:rsidR="00AD23F8" w:rsidRDefault="00AD23F8" w:rsidP="00576A96">
      <w:pPr>
        <w:jc w:val="center"/>
      </w:pPr>
    </w:p>
    <w:p w:rsidR="00576A96" w:rsidRDefault="00576A96" w:rsidP="00576A96">
      <w:pPr>
        <w:jc w:val="center"/>
      </w:pPr>
    </w:p>
    <w:p w:rsidR="00576A96" w:rsidRDefault="00576A96" w:rsidP="00AD23F8"/>
    <w:p w:rsidR="00576A96" w:rsidRDefault="00576A96" w:rsidP="00AD23F8">
      <w:pPr>
        <w:spacing w:line="480" w:lineRule="auto"/>
        <w:jc w:val="center"/>
      </w:pPr>
      <w:r>
        <w:t>Nissan Quantitative Survey Report</w:t>
      </w:r>
    </w:p>
    <w:p w:rsidR="00C9107D" w:rsidRDefault="00C9107D" w:rsidP="00AD23F8">
      <w:pPr>
        <w:spacing w:line="480" w:lineRule="auto"/>
        <w:jc w:val="center"/>
      </w:pPr>
      <w:r>
        <w:t>Hannah Brooker, Ashley</w:t>
      </w:r>
      <w:r w:rsidR="00B36E9B">
        <w:t xml:space="preserve"> Farrar</w:t>
      </w:r>
      <w:r>
        <w:t xml:space="preserve">, Melissa, </w:t>
      </w:r>
      <w:r w:rsidR="00E6171D">
        <w:t>Michael</w:t>
      </w:r>
      <w:r w:rsidR="00B36E9B">
        <w:t xml:space="preserve"> Pattison</w:t>
      </w:r>
      <w:bookmarkStart w:id="0" w:name="_GoBack"/>
      <w:bookmarkEnd w:id="0"/>
    </w:p>
    <w:p w:rsidR="00AD23F8" w:rsidRDefault="00AD23F8" w:rsidP="00AD23F8">
      <w:pPr>
        <w:spacing w:line="480" w:lineRule="auto"/>
        <w:jc w:val="center"/>
      </w:pPr>
      <w:r>
        <w:t>Oklahoma State University</w:t>
      </w:r>
    </w:p>
    <w:p w:rsidR="00C9107D" w:rsidRDefault="00C9107D" w:rsidP="00AD23F8">
      <w:pPr>
        <w:spacing w:line="480" w:lineRule="auto"/>
        <w:jc w:val="center"/>
      </w:pPr>
      <w:r>
        <w:t>Dr. Fullerton</w:t>
      </w:r>
    </w:p>
    <w:p w:rsidR="00C9107D" w:rsidRDefault="00C9107D" w:rsidP="00AD23F8">
      <w:pPr>
        <w:spacing w:line="480" w:lineRule="auto"/>
        <w:jc w:val="center"/>
      </w:pPr>
      <w:r>
        <w:t>December 11, 2011</w:t>
      </w:r>
    </w:p>
    <w:p w:rsidR="00576A96" w:rsidRDefault="00576A96"/>
    <w:p w:rsidR="00576A96" w:rsidRDefault="00576A96"/>
    <w:p w:rsidR="00576A96" w:rsidRDefault="00576A96"/>
    <w:p w:rsidR="00576A96" w:rsidRDefault="00576A96"/>
    <w:p w:rsidR="00576A96" w:rsidRDefault="00576A96"/>
    <w:p w:rsidR="00576A96" w:rsidRDefault="00576A96"/>
    <w:p w:rsidR="00576A96" w:rsidRDefault="00576A96"/>
    <w:p w:rsidR="00576A96" w:rsidRDefault="00576A96"/>
    <w:p w:rsidR="00576A96" w:rsidRDefault="00576A96"/>
    <w:p w:rsidR="00576A96" w:rsidRDefault="00576A96"/>
    <w:p w:rsidR="00C9107D" w:rsidRDefault="00C9107D"/>
    <w:p w:rsidR="00AD23F8" w:rsidRDefault="00AD23F8"/>
    <w:p w:rsidR="00C9107D" w:rsidRDefault="003A6905">
      <w:r>
        <w:lastRenderedPageBreak/>
        <w:t>INTRODUCTION</w:t>
      </w:r>
    </w:p>
    <w:p w:rsidR="003A6905" w:rsidRDefault="003A6905"/>
    <w:p w:rsidR="00C34CC9" w:rsidRDefault="00851804" w:rsidP="007A6875">
      <w:pPr>
        <w:spacing w:line="480" w:lineRule="auto"/>
        <w:ind w:firstLine="720"/>
      </w:pPr>
      <w:r>
        <w:t xml:space="preserve">The goal of this survey was to </w:t>
      </w:r>
      <w:r w:rsidR="00200CCC">
        <w:t>find numerical data about M</w:t>
      </w:r>
      <w:r w:rsidR="00C26841">
        <w:t>ulticultural Millennials, specifically African Americans, Asians, and Hispanics.  The data collected was also compared to a</w:t>
      </w:r>
      <w:r w:rsidR="00D617C5">
        <w:t>nswers by the Caucasian responde</w:t>
      </w:r>
      <w:r w:rsidR="00C26841">
        <w:t>nts.</w:t>
      </w:r>
      <w:r w:rsidR="00D53F4D">
        <w:t xml:space="preserve">The survey was </w:t>
      </w:r>
      <w:r w:rsidR="00C26841">
        <w:t>conducted on surveymonkey.com.  It was started</w:t>
      </w:r>
      <w:r w:rsidR="005866EA">
        <w:t xml:space="preserve"> on </w:t>
      </w:r>
      <w:r w:rsidR="003A6905">
        <w:t>November 21, 2011</w:t>
      </w:r>
      <w:r w:rsidR="00C26841">
        <w:t xml:space="preserve"> and ended </w:t>
      </w:r>
      <w:r w:rsidR="003A6905">
        <w:t>on December 10, 2011.</w:t>
      </w:r>
      <w:r w:rsidR="00D617C5">
        <w:t xml:space="preserve">  The types of questions i</w:t>
      </w:r>
      <w:r w:rsidR="007A6875">
        <w:t xml:space="preserve">ncluded were: multiple choice, </w:t>
      </w:r>
      <w:r w:rsidR="00E6171D">
        <w:t>Likert</w:t>
      </w:r>
      <w:r w:rsidR="00D617C5">
        <w:t xml:space="preserve"> scale, and open-ended. </w:t>
      </w:r>
    </w:p>
    <w:p w:rsidR="00CE188F" w:rsidRDefault="00CE188F"/>
    <w:p w:rsidR="00CE188F" w:rsidRDefault="00AC21B9" w:rsidP="008A4FDC">
      <w:r>
        <w:t>DEMOGRAPHIC INFORMATION</w:t>
      </w:r>
    </w:p>
    <w:p w:rsidR="008A4FDC" w:rsidRDefault="008A4FDC" w:rsidP="008A4FDC"/>
    <w:p w:rsidR="00460549" w:rsidRDefault="003A6905" w:rsidP="008A4FDC">
      <w:pPr>
        <w:spacing w:line="480" w:lineRule="auto"/>
        <w:ind w:firstLine="720"/>
      </w:pPr>
      <w:r>
        <w:t>123 respondents started the surve</w:t>
      </w:r>
      <w:r w:rsidR="005719F2">
        <w:t xml:space="preserve">y and </w:t>
      </w:r>
      <w:r>
        <w:t>115 r</w:t>
      </w:r>
      <w:r w:rsidR="00CE188F">
        <w:t>espondents completed the survey (93.5%).</w:t>
      </w:r>
      <w:r w:rsidR="00564D58">
        <w:t xml:space="preserve">111 respondents were between the ages of 18 through 29. </w:t>
      </w:r>
      <w:r w:rsidR="005719F2">
        <w:t xml:space="preserve"> 103</w:t>
      </w:r>
      <w:r w:rsidR="00851804">
        <w:t xml:space="preserve"> respondents</w:t>
      </w:r>
      <w:r w:rsidR="005719F2">
        <w:t xml:space="preserve"> matched the criteria</w:t>
      </w:r>
      <w:r w:rsidR="00564D58">
        <w:t>,</w:t>
      </w:r>
      <w:r w:rsidR="005719F2">
        <w:t xml:space="preserve"> being18 through 29 year old and</w:t>
      </w:r>
      <w:r w:rsidR="00851804">
        <w:t xml:space="preserve">were African American, Asian American, Caucasian, Hispanic, or Other.  </w:t>
      </w:r>
    </w:p>
    <w:p w:rsidR="005719F2" w:rsidRDefault="005719F2" w:rsidP="00EF7552">
      <w:pPr>
        <w:spacing w:line="480" w:lineRule="auto"/>
      </w:pPr>
      <w:r>
        <w:t>Out of the 103</w:t>
      </w:r>
      <w:r w:rsidR="00607A5C">
        <w:t xml:space="preserve"> respondents that m</w:t>
      </w:r>
      <w:r w:rsidR="00D04FDA">
        <w:t xml:space="preserve">atched the criteria, 26 were male and 77 </w:t>
      </w:r>
      <w:r w:rsidR="00607A5C">
        <w:t xml:space="preserve">were female.  </w:t>
      </w:r>
    </w:p>
    <w:p w:rsidR="00EF7552" w:rsidRDefault="00EF7552" w:rsidP="00EF7552">
      <w:pPr>
        <w:spacing w:line="480" w:lineRule="auto"/>
      </w:pPr>
    </w:p>
    <w:p w:rsidR="005719F2" w:rsidRDefault="00D04FDA" w:rsidP="005719F2">
      <w:pPr>
        <w:jc w:val="center"/>
      </w:pPr>
      <w:r>
        <w:t>Respondent Data</w:t>
      </w:r>
    </w:p>
    <w:tbl>
      <w:tblPr>
        <w:tblStyle w:val="LightShading1"/>
        <w:tblW w:w="0" w:type="auto"/>
        <w:jc w:val="center"/>
        <w:tblLook w:val="04A0"/>
      </w:tblPr>
      <w:tblGrid>
        <w:gridCol w:w="2050"/>
        <w:gridCol w:w="2050"/>
        <w:gridCol w:w="2050"/>
      </w:tblGrid>
      <w:tr w:rsidR="005719F2" w:rsidTr="00D04FDA">
        <w:trPr>
          <w:cnfStyle w:val="100000000000"/>
          <w:trHeight w:val="349"/>
          <w:jc w:val="center"/>
        </w:trPr>
        <w:tc>
          <w:tcPr>
            <w:cnfStyle w:val="001000000000"/>
            <w:tcW w:w="2050" w:type="dxa"/>
          </w:tcPr>
          <w:p w:rsidR="005719F2" w:rsidRDefault="005719F2"/>
        </w:tc>
        <w:tc>
          <w:tcPr>
            <w:tcW w:w="2050" w:type="dxa"/>
          </w:tcPr>
          <w:p w:rsidR="005719F2" w:rsidRDefault="005719F2">
            <w:pPr>
              <w:cnfStyle w:val="100000000000"/>
            </w:pPr>
            <w:r>
              <w:t>Frequency</w:t>
            </w:r>
          </w:p>
        </w:tc>
        <w:tc>
          <w:tcPr>
            <w:tcW w:w="2050" w:type="dxa"/>
          </w:tcPr>
          <w:p w:rsidR="005719F2" w:rsidRDefault="005719F2">
            <w:pPr>
              <w:cnfStyle w:val="100000000000"/>
            </w:pPr>
            <w:r>
              <w:t>Percentage</w:t>
            </w:r>
          </w:p>
        </w:tc>
      </w:tr>
      <w:tr w:rsidR="005719F2" w:rsidTr="00D04FDA">
        <w:trPr>
          <w:cnfStyle w:val="000000100000"/>
          <w:trHeight w:val="349"/>
          <w:jc w:val="center"/>
        </w:trPr>
        <w:tc>
          <w:tcPr>
            <w:cnfStyle w:val="001000000000"/>
            <w:tcW w:w="2050" w:type="dxa"/>
          </w:tcPr>
          <w:p w:rsidR="005719F2" w:rsidRDefault="005719F2">
            <w:r>
              <w:t>Started Survey</w:t>
            </w:r>
          </w:p>
        </w:tc>
        <w:tc>
          <w:tcPr>
            <w:tcW w:w="2050" w:type="dxa"/>
          </w:tcPr>
          <w:p w:rsidR="005719F2" w:rsidRDefault="005719F2">
            <w:pPr>
              <w:cnfStyle w:val="000000100000"/>
            </w:pPr>
            <w:r>
              <w:t>123</w:t>
            </w:r>
          </w:p>
        </w:tc>
        <w:tc>
          <w:tcPr>
            <w:tcW w:w="2050" w:type="dxa"/>
          </w:tcPr>
          <w:p w:rsidR="005719F2" w:rsidRDefault="005719F2">
            <w:pPr>
              <w:cnfStyle w:val="000000100000"/>
            </w:pPr>
            <w:r>
              <w:t>100</w:t>
            </w:r>
          </w:p>
        </w:tc>
      </w:tr>
      <w:tr w:rsidR="005719F2" w:rsidTr="00D04FDA">
        <w:trPr>
          <w:trHeight w:val="349"/>
          <w:jc w:val="center"/>
        </w:trPr>
        <w:tc>
          <w:tcPr>
            <w:cnfStyle w:val="001000000000"/>
            <w:tcW w:w="2050" w:type="dxa"/>
          </w:tcPr>
          <w:p w:rsidR="005719F2" w:rsidRDefault="005719F2">
            <w:r>
              <w:t>Completed Survey</w:t>
            </w:r>
          </w:p>
        </w:tc>
        <w:tc>
          <w:tcPr>
            <w:tcW w:w="2050" w:type="dxa"/>
          </w:tcPr>
          <w:p w:rsidR="005719F2" w:rsidRDefault="005719F2">
            <w:pPr>
              <w:cnfStyle w:val="000000000000"/>
            </w:pPr>
            <w:r>
              <w:t>115</w:t>
            </w:r>
          </w:p>
        </w:tc>
        <w:tc>
          <w:tcPr>
            <w:tcW w:w="2050" w:type="dxa"/>
          </w:tcPr>
          <w:p w:rsidR="005719F2" w:rsidRDefault="005719F2">
            <w:pPr>
              <w:cnfStyle w:val="000000000000"/>
            </w:pPr>
            <w:r>
              <w:t>93.5</w:t>
            </w:r>
          </w:p>
        </w:tc>
      </w:tr>
      <w:tr w:rsidR="005719F2" w:rsidTr="00D04FDA">
        <w:trPr>
          <w:cnfStyle w:val="000000100000"/>
          <w:trHeight w:val="349"/>
          <w:jc w:val="center"/>
        </w:trPr>
        <w:tc>
          <w:tcPr>
            <w:cnfStyle w:val="001000000000"/>
            <w:tcW w:w="2050" w:type="dxa"/>
          </w:tcPr>
          <w:p w:rsidR="005719F2" w:rsidRDefault="005719F2">
            <w:r>
              <w:t>Matched Criteria</w:t>
            </w:r>
          </w:p>
        </w:tc>
        <w:tc>
          <w:tcPr>
            <w:tcW w:w="2050" w:type="dxa"/>
          </w:tcPr>
          <w:p w:rsidR="005719F2" w:rsidRDefault="005719F2">
            <w:pPr>
              <w:cnfStyle w:val="000000100000"/>
            </w:pPr>
            <w:r>
              <w:t>103</w:t>
            </w:r>
          </w:p>
        </w:tc>
        <w:tc>
          <w:tcPr>
            <w:tcW w:w="2050" w:type="dxa"/>
          </w:tcPr>
          <w:p w:rsidR="005719F2" w:rsidRDefault="005719F2">
            <w:pPr>
              <w:cnfStyle w:val="000000100000"/>
            </w:pPr>
            <w:r>
              <w:t>83.7</w:t>
            </w:r>
          </w:p>
        </w:tc>
      </w:tr>
    </w:tbl>
    <w:p w:rsidR="00A61931" w:rsidRDefault="00A61931"/>
    <w:p w:rsidR="00D04FDA" w:rsidRDefault="00D04FDA"/>
    <w:p w:rsidR="00865483" w:rsidRDefault="00865483" w:rsidP="00865483">
      <w:pPr>
        <w:jc w:val="center"/>
      </w:pPr>
      <w:r>
        <w:t>Gender</w:t>
      </w:r>
    </w:p>
    <w:tbl>
      <w:tblPr>
        <w:tblStyle w:val="LightShading1"/>
        <w:tblW w:w="0" w:type="auto"/>
        <w:jc w:val="center"/>
        <w:tblLook w:val="04A0"/>
      </w:tblPr>
      <w:tblGrid>
        <w:gridCol w:w="2020"/>
        <w:gridCol w:w="2020"/>
        <w:gridCol w:w="2020"/>
      </w:tblGrid>
      <w:tr w:rsidR="00A61931" w:rsidTr="00865483">
        <w:trPr>
          <w:cnfStyle w:val="100000000000"/>
          <w:trHeight w:val="501"/>
          <w:jc w:val="center"/>
        </w:trPr>
        <w:tc>
          <w:tcPr>
            <w:cnfStyle w:val="001000000000"/>
            <w:tcW w:w="2020" w:type="dxa"/>
          </w:tcPr>
          <w:p w:rsidR="00A61931" w:rsidRDefault="00A61931">
            <w:r>
              <w:t>Gender</w:t>
            </w:r>
          </w:p>
        </w:tc>
        <w:tc>
          <w:tcPr>
            <w:tcW w:w="2020" w:type="dxa"/>
          </w:tcPr>
          <w:p w:rsidR="00A61931" w:rsidRDefault="00A61931">
            <w:pPr>
              <w:cnfStyle w:val="100000000000"/>
            </w:pPr>
            <w:r>
              <w:t>Frequency</w:t>
            </w:r>
          </w:p>
        </w:tc>
        <w:tc>
          <w:tcPr>
            <w:tcW w:w="2020" w:type="dxa"/>
          </w:tcPr>
          <w:p w:rsidR="00A61931" w:rsidRDefault="00A61931">
            <w:pPr>
              <w:cnfStyle w:val="100000000000"/>
            </w:pPr>
            <w:r>
              <w:t>Percentage</w:t>
            </w:r>
          </w:p>
        </w:tc>
      </w:tr>
      <w:tr w:rsidR="00A61931" w:rsidTr="00865483">
        <w:trPr>
          <w:cnfStyle w:val="000000100000"/>
          <w:trHeight w:val="501"/>
          <w:jc w:val="center"/>
        </w:trPr>
        <w:tc>
          <w:tcPr>
            <w:cnfStyle w:val="001000000000"/>
            <w:tcW w:w="2020" w:type="dxa"/>
          </w:tcPr>
          <w:p w:rsidR="00A61931" w:rsidRDefault="00A61931">
            <w:r>
              <w:t>Male</w:t>
            </w:r>
          </w:p>
        </w:tc>
        <w:tc>
          <w:tcPr>
            <w:tcW w:w="2020" w:type="dxa"/>
          </w:tcPr>
          <w:p w:rsidR="00A61931" w:rsidRDefault="00A61931">
            <w:pPr>
              <w:cnfStyle w:val="000000100000"/>
            </w:pPr>
            <w:r>
              <w:t>26</w:t>
            </w:r>
          </w:p>
        </w:tc>
        <w:tc>
          <w:tcPr>
            <w:tcW w:w="2020" w:type="dxa"/>
          </w:tcPr>
          <w:p w:rsidR="00A61931" w:rsidRDefault="00A61931">
            <w:pPr>
              <w:cnfStyle w:val="000000100000"/>
            </w:pPr>
            <w:r>
              <w:t>25.2</w:t>
            </w:r>
          </w:p>
        </w:tc>
      </w:tr>
      <w:tr w:rsidR="00A61931" w:rsidTr="00865483">
        <w:trPr>
          <w:trHeight w:val="559"/>
          <w:jc w:val="center"/>
        </w:trPr>
        <w:tc>
          <w:tcPr>
            <w:cnfStyle w:val="001000000000"/>
            <w:tcW w:w="2020" w:type="dxa"/>
          </w:tcPr>
          <w:p w:rsidR="00A61931" w:rsidRDefault="00A61931">
            <w:r>
              <w:t>Female</w:t>
            </w:r>
          </w:p>
        </w:tc>
        <w:tc>
          <w:tcPr>
            <w:tcW w:w="2020" w:type="dxa"/>
          </w:tcPr>
          <w:p w:rsidR="00A61931" w:rsidRDefault="00A61931">
            <w:pPr>
              <w:cnfStyle w:val="000000000000"/>
            </w:pPr>
            <w:r>
              <w:t>77</w:t>
            </w:r>
          </w:p>
        </w:tc>
        <w:tc>
          <w:tcPr>
            <w:tcW w:w="2020" w:type="dxa"/>
          </w:tcPr>
          <w:p w:rsidR="00A61931" w:rsidRDefault="00A61931">
            <w:pPr>
              <w:cnfStyle w:val="000000000000"/>
            </w:pPr>
            <w:r>
              <w:t>74.8</w:t>
            </w:r>
          </w:p>
        </w:tc>
      </w:tr>
    </w:tbl>
    <w:p w:rsidR="00A61931" w:rsidRDefault="00A61931"/>
    <w:p w:rsidR="00607A5C" w:rsidRDefault="00607A5C"/>
    <w:p w:rsidR="008A4FDC" w:rsidRDefault="008A4FDC"/>
    <w:p w:rsidR="008A4FDC" w:rsidRPr="00E635B5" w:rsidRDefault="008A4FDC"/>
    <w:p w:rsidR="00F24C41" w:rsidRDefault="00865483" w:rsidP="00865483">
      <w:pPr>
        <w:jc w:val="center"/>
      </w:pPr>
      <w:r>
        <w:lastRenderedPageBreak/>
        <w:t>Ethnicity of 18 through 29 Year O</w:t>
      </w:r>
      <w:r w:rsidR="002C0F11">
        <w:t>lds</w:t>
      </w:r>
      <w:r w:rsidR="00AF3DF0">
        <w:t xml:space="preserve"> Out of 111 Respondents</w:t>
      </w:r>
    </w:p>
    <w:tbl>
      <w:tblPr>
        <w:tblStyle w:val="LightShading1"/>
        <w:tblW w:w="0" w:type="auto"/>
        <w:jc w:val="center"/>
        <w:tblLook w:val="04A0"/>
      </w:tblPr>
      <w:tblGrid>
        <w:gridCol w:w="2006"/>
        <w:gridCol w:w="2006"/>
        <w:gridCol w:w="2006"/>
      </w:tblGrid>
      <w:tr w:rsidR="002C0F11" w:rsidTr="00865483">
        <w:trPr>
          <w:cnfStyle w:val="100000000000"/>
          <w:trHeight w:val="400"/>
          <w:jc w:val="center"/>
        </w:trPr>
        <w:tc>
          <w:tcPr>
            <w:cnfStyle w:val="001000000000"/>
            <w:tcW w:w="2006" w:type="dxa"/>
          </w:tcPr>
          <w:p w:rsidR="002C0F11" w:rsidRDefault="002C0F11">
            <w:r>
              <w:t>Race</w:t>
            </w:r>
          </w:p>
        </w:tc>
        <w:tc>
          <w:tcPr>
            <w:tcW w:w="2006" w:type="dxa"/>
          </w:tcPr>
          <w:p w:rsidR="002C0F11" w:rsidRDefault="002C0F11">
            <w:pPr>
              <w:cnfStyle w:val="100000000000"/>
            </w:pPr>
            <w:r>
              <w:t>Frequency</w:t>
            </w:r>
          </w:p>
        </w:tc>
        <w:tc>
          <w:tcPr>
            <w:tcW w:w="2006" w:type="dxa"/>
          </w:tcPr>
          <w:p w:rsidR="002C0F11" w:rsidRDefault="002C0F11">
            <w:pPr>
              <w:cnfStyle w:val="100000000000"/>
            </w:pPr>
            <w:r>
              <w:t>Percentage</w:t>
            </w:r>
          </w:p>
        </w:tc>
      </w:tr>
      <w:tr w:rsidR="002C0F11" w:rsidTr="00865483">
        <w:trPr>
          <w:cnfStyle w:val="000000100000"/>
          <w:trHeight w:val="377"/>
          <w:jc w:val="center"/>
        </w:trPr>
        <w:tc>
          <w:tcPr>
            <w:cnfStyle w:val="001000000000"/>
            <w:tcW w:w="2006" w:type="dxa"/>
          </w:tcPr>
          <w:p w:rsidR="002C0F11" w:rsidRDefault="002C0F11">
            <w:r>
              <w:t>Caucasian</w:t>
            </w:r>
          </w:p>
        </w:tc>
        <w:tc>
          <w:tcPr>
            <w:tcW w:w="2006" w:type="dxa"/>
          </w:tcPr>
          <w:p w:rsidR="002C0F11" w:rsidRDefault="002C0F11">
            <w:pPr>
              <w:cnfStyle w:val="000000100000"/>
            </w:pPr>
            <w:r>
              <w:t>52</w:t>
            </w:r>
          </w:p>
        </w:tc>
        <w:tc>
          <w:tcPr>
            <w:tcW w:w="2006" w:type="dxa"/>
          </w:tcPr>
          <w:p w:rsidR="002C0F11" w:rsidRDefault="002C0F11">
            <w:pPr>
              <w:cnfStyle w:val="000000100000"/>
            </w:pPr>
            <w:r>
              <w:t>46.8</w:t>
            </w:r>
          </w:p>
        </w:tc>
      </w:tr>
      <w:tr w:rsidR="002C0F11" w:rsidTr="00865483">
        <w:trPr>
          <w:trHeight w:val="377"/>
          <w:jc w:val="center"/>
        </w:trPr>
        <w:tc>
          <w:tcPr>
            <w:cnfStyle w:val="001000000000"/>
            <w:tcW w:w="2006" w:type="dxa"/>
          </w:tcPr>
          <w:p w:rsidR="002C0F11" w:rsidRDefault="002C0F11">
            <w:r>
              <w:t xml:space="preserve">African American </w:t>
            </w:r>
          </w:p>
        </w:tc>
        <w:tc>
          <w:tcPr>
            <w:tcW w:w="2006" w:type="dxa"/>
          </w:tcPr>
          <w:p w:rsidR="002C0F11" w:rsidRDefault="002C0F11">
            <w:pPr>
              <w:cnfStyle w:val="000000000000"/>
            </w:pPr>
            <w:r>
              <w:t>27</w:t>
            </w:r>
          </w:p>
        </w:tc>
        <w:tc>
          <w:tcPr>
            <w:tcW w:w="2006" w:type="dxa"/>
          </w:tcPr>
          <w:p w:rsidR="002C0F11" w:rsidRDefault="002C0F11">
            <w:pPr>
              <w:cnfStyle w:val="000000000000"/>
            </w:pPr>
            <w:r>
              <w:t>24.3</w:t>
            </w:r>
          </w:p>
        </w:tc>
      </w:tr>
      <w:tr w:rsidR="002C0F11" w:rsidTr="00865483">
        <w:trPr>
          <w:cnfStyle w:val="000000100000"/>
          <w:trHeight w:val="400"/>
          <w:jc w:val="center"/>
        </w:trPr>
        <w:tc>
          <w:tcPr>
            <w:cnfStyle w:val="001000000000"/>
            <w:tcW w:w="2006" w:type="dxa"/>
          </w:tcPr>
          <w:p w:rsidR="002C0F11" w:rsidRDefault="002C0F11">
            <w:r>
              <w:t>Hispanic</w:t>
            </w:r>
          </w:p>
        </w:tc>
        <w:tc>
          <w:tcPr>
            <w:tcW w:w="2006" w:type="dxa"/>
          </w:tcPr>
          <w:p w:rsidR="002C0F11" w:rsidRDefault="002C0F11">
            <w:pPr>
              <w:cnfStyle w:val="000000100000"/>
            </w:pPr>
            <w:r>
              <w:t>17</w:t>
            </w:r>
          </w:p>
        </w:tc>
        <w:tc>
          <w:tcPr>
            <w:tcW w:w="2006" w:type="dxa"/>
          </w:tcPr>
          <w:p w:rsidR="002C0F11" w:rsidRDefault="002C0F11">
            <w:pPr>
              <w:cnfStyle w:val="000000100000"/>
            </w:pPr>
            <w:r>
              <w:t>15.3</w:t>
            </w:r>
          </w:p>
        </w:tc>
      </w:tr>
      <w:tr w:rsidR="002C0F11" w:rsidTr="00865483">
        <w:trPr>
          <w:trHeight w:val="377"/>
          <w:jc w:val="center"/>
        </w:trPr>
        <w:tc>
          <w:tcPr>
            <w:cnfStyle w:val="001000000000"/>
            <w:tcW w:w="2006" w:type="dxa"/>
          </w:tcPr>
          <w:p w:rsidR="002C0F11" w:rsidRDefault="002C0F11">
            <w:r>
              <w:t>Native American</w:t>
            </w:r>
          </w:p>
        </w:tc>
        <w:tc>
          <w:tcPr>
            <w:tcW w:w="2006" w:type="dxa"/>
          </w:tcPr>
          <w:p w:rsidR="002C0F11" w:rsidRDefault="002C0F11">
            <w:pPr>
              <w:cnfStyle w:val="000000000000"/>
            </w:pPr>
            <w:r>
              <w:t>8</w:t>
            </w:r>
          </w:p>
        </w:tc>
        <w:tc>
          <w:tcPr>
            <w:tcW w:w="2006" w:type="dxa"/>
          </w:tcPr>
          <w:p w:rsidR="002C0F11" w:rsidRDefault="002C0F11">
            <w:pPr>
              <w:cnfStyle w:val="000000000000"/>
            </w:pPr>
            <w:r>
              <w:t>7.2</w:t>
            </w:r>
          </w:p>
        </w:tc>
      </w:tr>
      <w:tr w:rsidR="002C0F11" w:rsidTr="00865483">
        <w:trPr>
          <w:cnfStyle w:val="000000100000"/>
          <w:trHeight w:val="377"/>
          <w:jc w:val="center"/>
        </w:trPr>
        <w:tc>
          <w:tcPr>
            <w:cnfStyle w:val="001000000000"/>
            <w:tcW w:w="2006" w:type="dxa"/>
          </w:tcPr>
          <w:p w:rsidR="002C0F11" w:rsidRDefault="002C0F11">
            <w:r>
              <w:t>Asian</w:t>
            </w:r>
          </w:p>
        </w:tc>
        <w:tc>
          <w:tcPr>
            <w:tcW w:w="2006" w:type="dxa"/>
          </w:tcPr>
          <w:p w:rsidR="002C0F11" w:rsidRDefault="002C0F11">
            <w:pPr>
              <w:cnfStyle w:val="000000100000"/>
            </w:pPr>
            <w:r>
              <w:t>4</w:t>
            </w:r>
          </w:p>
        </w:tc>
        <w:tc>
          <w:tcPr>
            <w:tcW w:w="2006" w:type="dxa"/>
          </w:tcPr>
          <w:p w:rsidR="002C0F11" w:rsidRDefault="002C0F11">
            <w:pPr>
              <w:cnfStyle w:val="000000100000"/>
            </w:pPr>
            <w:r>
              <w:t>3.6</w:t>
            </w:r>
          </w:p>
        </w:tc>
      </w:tr>
      <w:tr w:rsidR="002C0F11" w:rsidTr="00865483">
        <w:trPr>
          <w:trHeight w:val="400"/>
          <w:jc w:val="center"/>
        </w:trPr>
        <w:tc>
          <w:tcPr>
            <w:cnfStyle w:val="001000000000"/>
            <w:tcW w:w="2006" w:type="dxa"/>
          </w:tcPr>
          <w:p w:rsidR="002C0F11" w:rsidRDefault="002C0F11">
            <w:r>
              <w:t>Other</w:t>
            </w:r>
          </w:p>
        </w:tc>
        <w:tc>
          <w:tcPr>
            <w:tcW w:w="2006" w:type="dxa"/>
          </w:tcPr>
          <w:p w:rsidR="002C0F11" w:rsidRDefault="002C0F11">
            <w:pPr>
              <w:cnfStyle w:val="000000000000"/>
            </w:pPr>
            <w:r>
              <w:t>3</w:t>
            </w:r>
          </w:p>
        </w:tc>
        <w:tc>
          <w:tcPr>
            <w:tcW w:w="2006" w:type="dxa"/>
          </w:tcPr>
          <w:p w:rsidR="002C0F11" w:rsidRDefault="002C0F11">
            <w:pPr>
              <w:cnfStyle w:val="000000000000"/>
            </w:pPr>
            <w:r>
              <w:t>2.7</w:t>
            </w:r>
          </w:p>
        </w:tc>
      </w:tr>
    </w:tbl>
    <w:p w:rsidR="002C0F11" w:rsidRDefault="002C0F11"/>
    <w:p w:rsidR="00675B4E" w:rsidRDefault="008C7B35">
      <w:r>
        <w:rPr>
          <w:noProof/>
          <w:lang w:eastAsia="en-US"/>
        </w:rPr>
        <w:drawing>
          <wp:inline distT="0" distB="0" distL="0" distR="0">
            <wp:extent cx="5943600" cy="4456215"/>
            <wp:effectExtent l="19050" t="0" r="0" b="0"/>
            <wp:docPr id="2" name="Picture 1" descr="C:\Users\kmeiko\Desktop\Downloads\ChartExpor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iko\Desktop\Downloads\ChartExport (5).png"/>
                    <pic:cNvPicPr>
                      <a:picLocks noChangeAspect="1" noChangeArrowheads="1"/>
                    </pic:cNvPicPr>
                  </pic:nvPicPr>
                  <pic:blipFill>
                    <a:blip r:embed="rId7" cstate="print"/>
                    <a:srcRect/>
                    <a:stretch>
                      <a:fillRect/>
                    </a:stretch>
                  </pic:blipFill>
                  <pic:spPr bwMode="auto">
                    <a:xfrm>
                      <a:off x="0" y="0"/>
                      <a:ext cx="5943600" cy="4456215"/>
                    </a:xfrm>
                    <a:prstGeom prst="rect">
                      <a:avLst/>
                    </a:prstGeom>
                    <a:noFill/>
                    <a:ln w="9525">
                      <a:noFill/>
                      <a:miter lim="800000"/>
                      <a:headEnd/>
                      <a:tailEnd/>
                    </a:ln>
                  </pic:spPr>
                </pic:pic>
              </a:graphicData>
            </a:graphic>
          </wp:inline>
        </w:drawing>
      </w:r>
    </w:p>
    <w:p w:rsidR="009057E9" w:rsidRDefault="009057E9">
      <w:pPr>
        <w:rPr>
          <w:noProof/>
        </w:rPr>
      </w:pPr>
    </w:p>
    <w:p w:rsidR="00330975" w:rsidRDefault="009057E9" w:rsidP="00EF7552">
      <w:pPr>
        <w:spacing w:line="480" w:lineRule="auto"/>
        <w:ind w:firstLine="720"/>
        <w:rPr>
          <w:noProof/>
        </w:rPr>
      </w:pPr>
      <w:r>
        <w:rPr>
          <w:noProof/>
        </w:rPr>
        <w:t xml:space="preserve">For income, </w:t>
      </w:r>
      <w:r w:rsidR="00823D88">
        <w:rPr>
          <w:noProof/>
        </w:rPr>
        <w:t xml:space="preserve"> African Americans</w:t>
      </w:r>
      <w:r w:rsidR="00181366">
        <w:rPr>
          <w:noProof/>
        </w:rPr>
        <w:t xml:space="preserve">, </w:t>
      </w:r>
      <w:r w:rsidR="00823D88">
        <w:rPr>
          <w:noProof/>
        </w:rPr>
        <w:t>Caucasians</w:t>
      </w:r>
      <w:r w:rsidR="00181366">
        <w:rPr>
          <w:noProof/>
        </w:rPr>
        <w:t xml:space="preserve"> and Others</w:t>
      </w:r>
      <w:r>
        <w:rPr>
          <w:noProof/>
        </w:rPr>
        <w:t xml:space="preserve"> made the</w:t>
      </w:r>
      <w:r w:rsidR="00181366">
        <w:rPr>
          <w:noProof/>
        </w:rPr>
        <w:t xml:space="preserve"> greatest amount of</w:t>
      </w:r>
      <w:r>
        <w:rPr>
          <w:noProof/>
        </w:rPr>
        <w:t xml:space="preserve"> money, </w:t>
      </w:r>
      <w:r w:rsidR="00BB0CAC">
        <w:rPr>
          <w:noProof/>
        </w:rPr>
        <w:t xml:space="preserve"> while Asians and Hispanics made the least amount of money.  </w:t>
      </w:r>
      <w:r w:rsidR="009754B1">
        <w:rPr>
          <w:noProof/>
        </w:rPr>
        <w:t xml:space="preserve">For all the Millennials, the most popular income bracket was $0 through $15,000 a year.  </w:t>
      </w:r>
    </w:p>
    <w:p w:rsidR="009057E9" w:rsidRDefault="009057E9" w:rsidP="009057E9">
      <w:pPr>
        <w:jc w:val="center"/>
        <w:rPr>
          <w:noProof/>
        </w:rPr>
      </w:pPr>
      <w:r>
        <w:rPr>
          <w:noProof/>
        </w:rPr>
        <w:lastRenderedPageBreak/>
        <w:t>Income Bracke</w:t>
      </w:r>
      <w:r w:rsidR="009754B1">
        <w:rPr>
          <w:noProof/>
        </w:rPr>
        <w:t xml:space="preserve">ts </w:t>
      </w:r>
      <w:r>
        <w:rPr>
          <w:noProof/>
        </w:rPr>
        <w:t>for Each Ethnicity</w:t>
      </w:r>
    </w:p>
    <w:p w:rsidR="00675B4E" w:rsidRDefault="009057E9" w:rsidP="00330975">
      <w:pPr>
        <w:jc w:val="center"/>
        <w:rPr>
          <w:noProof/>
        </w:rPr>
      </w:pPr>
      <w:r w:rsidRPr="009057E9">
        <w:rPr>
          <w:noProof/>
          <w:lang w:eastAsia="en-US"/>
        </w:rPr>
        <w:drawing>
          <wp:inline distT="0" distB="0" distL="0" distR="0">
            <wp:extent cx="5295900" cy="2596319"/>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36218" t="31026" r="6250" b="23846"/>
                    <a:stretch>
                      <a:fillRect/>
                    </a:stretch>
                  </pic:blipFill>
                  <pic:spPr bwMode="auto">
                    <a:xfrm>
                      <a:off x="0" y="0"/>
                      <a:ext cx="5295900" cy="2596319"/>
                    </a:xfrm>
                    <a:prstGeom prst="rect">
                      <a:avLst/>
                    </a:prstGeom>
                    <a:noFill/>
                    <a:ln w="9525">
                      <a:noFill/>
                      <a:miter lim="800000"/>
                      <a:headEnd/>
                      <a:tailEnd/>
                    </a:ln>
                  </pic:spPr>
                </pic:pic>
              </a:graphicData>
            </a:graphic>
          </wp:inline>
        </w:drawing>
      </w:r>
    </w:p>
    <w:p w:rsidR="00330975" w:rsidRDefault="00330975" w:rsidP="00330975">
      <w:pPr>
        <w:jc w:val="center"/>
        <w:rPr>
          <w:noProof/>
        </w:rPr>
      </w:pPr>
    </w:p>
    <w:p w:rsidR="00330975" w:rsidRDefault="00330975" w:rsidP="00330975">
      <w:pPr>
        <w:jc w:val="center"/>
        <w:rPr>
          <w:noProof/>
        </w:rPr>
      </w:pPr>
    </w:p>
    <w:p w:rsidR="00675B4E" w:rsidRDefault="009057E9">
      <w:pPr>
        <w:rPr>
          <w:noProof/>
        </w:rPr>
      </w:pPr>
      <w:r>
        <w:rPr>
          <w:noProof/>
          <w:lang w:eastAsia="en-US"/>
        </w:rPr>
        <w:drawing>
          <wp:inline distT="0" distB="0" distL="0" distR="0">
            <wp:extent cx="5943600" cy="4457700"/>
            <wp:effectExtent l="19050" t="0" r="0" b="0"/>
            <wp:docPr id="10" name="Picture 4" descr="C:\Users\kmeiko\Desktop\Downloads\ChartExpo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eiko\Desktop\Downloads\ChartExport (3).png"/>
                    <pic:cNvPicPr>
                      <a:picLocks noChangeAspect="1" noChangeArrowheads="1"/>
                    </pic:cNvPicPr>
                  </pic:nvPicPr>
                  <pic:blipFill>
                    <a:blip r:embed="rId9"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675B4E" w:rsidRDefault="00675B4E">
      <w:pPr>
        <w:rPr>
          <w:noProof/>
        </w:rPr>
      </w:pPr>
    </w:p>
    <w:p w:rsidR="00EF7552" w:rsidRDefault="00C26841" w:rsidP="00791731">
      <w:pPr>
        <w:rPr>
          <w:noProof/>
        </w:rPr>
      </w:pPr>
      <w:r>
        <w:rPr>
          <w:noProof/>
        </w:rPr>
        <w:lastRenderedPageBreak/>
        <w:t>KEY INSIGHTS</w:t>
      </w:r>
    </w:p>
    <w:p w:rsidR="00791731" w:rsidRDefault="00791731" w:rsidP="00791731">
      <w:pPr>
        <w:rPr>
          <w:noProof/>
        </w:rPr>
      </w:pPr>
    </w:p>
    <w:p w:rsidR="00791731" w:rsidRDefault="00C8574E" w:rsidP="00791731">
      <w:pPr>
        <w:spacing w:line="480" w:lineRule="auto"/>
        <w:ind w:firstLine="720"/>
        <w:rPr>
          <w:noProof/>
        </w:rPr>
      </w:pPr>
      <w:r>
        <w:rPr>
          <w:noProof/>
        </w:rPr>
        <w:t xml:space="preserve">While each race’s opinions differed on some questions, there were a lot of similarities between </w:t>
      </w:r>
      <w:r w:rsidR="001F761E">
        <w:rPr>
          <w:noProof/>
        </w:rPr>
        <w:t xml:space="preserve">Multicultural Millennials, as well as similarities between Caucasian and Multicultural Millennials.  </w:t>
      </w:r>
    </w:p>
    <w:p w:rsidR="00791731" w:rsidRDefault="00791731" w:rsidP="00791731">
      <w:pPr>
        <w:spacing w:line="480" w:lineRule="auto"/>
        <w:rPr>
          <w:noProof/>
        </w:rPr>
      </w:pPr>
      <w:r>
        <w:rPr>
          <w:noProof/>
        </w:rPr>
        <w:t xml:space="preserve">When it came to cultural questions, Millennials tended to differ greatly, though there were some </w:t>
      </w:r>
    </w:p>
    <w:p w:rsidR="00420688" w:rsidRDefault="00791731" w:rsidP="00791731">
      <w:pPr>
        <w:spacing w:line="480" w:lineRule="auto"/>
        <w:rPr>
          <w:noProof/>
        </w:rPr>
      </w:pPr>
      <w:r>
        <w:rPr>
          <w:noProof/>
        </w:rPr>
        <w:t xml:space="preserve">similarities.  </w:t>
      </w:r>
    </w:p>
    <w:p w:rsidR="00FA4524" w:rsidRDefault="00420688" w:rsidP="0047285C">
      <w:pPr>
        <w:spacing w:line="480" w:lineRule="auto"/>
        <w:ind w:firstLine="720"/>
        <w:rPr>
          <w:noProof/>
        </w:rPr>
      </w:pPr>
      <w:r>
        <w:rPr>
          <w:noProof/>
        </w:rPr>
        <w:t>Mill</w:t>
      </w:r>
      <w:r w:rsidR="00C33360">
        <w:rPr>
          <w:noProof/>
        </w:rPr>
        <w:t xml:space="preserve">ennials want a reliable car that is safe.  They </w:t>
      </w:r>
      <w:r w:rsidR="004873E2">
        <w:rPr>
          <w:noProof/>
        </w:rPr>
        <w:t>care more about practicality and performance than looks.  They listen to their family when choosing a c</w:t>
      </w:r>
      <w:r w:rsidR="00C33360">
        <w:rPr>
          <w:noProof/>
        </w:rPr>
        <w:t>ar</w:t>
      </w:r>
      <w:r w:rsidR="004873E2">
        <w:rPr>
          <w:noProof/>
        </w:rPr>
        <w:t xml:space="preserve"> while also seeking th</w:t>
      </w:r>
      <w:r w:rsidR="00891E3E">
        <w:rPr>
          <w:noProof/>
        </w:rPr>
        <w:t xml:space="preserve">e advice of experts and </w:t>
      </w:r>
      <w:r w:rsidR="004873E2">
        <w:rPr>
          <w:noProof/>
        </w:rPr>
        <w:t xml:space="preserve">online reviews.  </w:t>
      </w:r>
      <w:r w:rsidR="00C430F5">
        <w:rPr>
          <w:noProof/>
        </w:rPr>
        <w:t xml:space="preserve">For Millennials, brand reputation is important </w:t>
      </w:r>
      <w:r w:rsidR="009B7CDE">
        <w:rPr>
          <w:noProof/>
        </w:rPr>
        <w:t xml:space="preserve">when buying a car, while seeing a celebrity drive a car doesn’t necessarily make make them want to know more about the car.  </w:t>
      </w:r>
      <w:r>
        <w:rPr>
          <w:noProof/>
        </w:rPr>
        <w:t>The</w:t>
      </w:r>
      <w:r w:rsidR="00310D49">
        <w:rPr>
          <w:noProof/>
        </w:rPr>
        <w:t>y</w:t>
      </w:r>
      <w:r>
        <w:rPr>
          <w:noProof/>
        </w:rPr>
        <w:t xml:space="preserve"> consider price an important factor in </w:t>
      </w:r>
      <w:r w:rsidR="004873E2">
        <w:rPr>
          <w:noProof/>
        </w:rPr>
        <w:t xml:space="preserve">the </w:t>
      </w:r>
      <w:r>
        <w:rPr>
          <w:noProof/>
        </w:rPr>
        <w:t>decision making</w:t>
      </w:r>
      <w:r w:rsidR="004873E2">
        <w:rPr>
          <w:noProof/>
        </w:rPr>
        <w:t xml:space="preserve"> process</w:t>
      </w:r>
      <w:r>
        <w:rPr>
          <w:noProof/>
        </w:rPr>
        <w:t>, especially since most Millennials in t</w:t>
      </w:r>
      <w:r w:rsidR="00F8290F">
        <w:rPr>
          <w:noProof/>
        </w:rPr>
        <w:t>he survey make less than 25 thousnd</w:t>
      </w:r>
      <w:r>
        <w:rPr>
          <w:noProof/>
        </w:rPr>
        <w:t xml:space="preserve"> a year.  </w:t>
      </w:r>
      <w:r w:rsidR="00C33360">
        <w:rPr>
          <w:noProof/>
        </w:rPr>
        <w:t>Millennials will pay mor</w:t>
      </w:r>
      <w:r w:rsidR="00A1612F">
        <w:rPr>
          <w:noProof/>
        </w:rPr>
        <w:t>e t</w:t>
      </w:r>
      <w:r w:rsidR="00246CE5">
        <w:rPr>
          <w:noProof/>
        </w:rPr>
        <w:t xml:space="preserve">o have a gas efficient car and </w:t>
      </w:r>
      <w:r w:rsidR="00F9570B">
        <w:rPr>
          <w:noProof/>
        </w:rPr>
        <w:t>don’t car</w:t>
      </w:r>
      <w:r w:rsidR="00646E15">
        <w:rPr>
          <w:noProof/>
        </w:rPr>
        <w:t>e</w:t>
      </w:r>
      <w:r w:rsidR="00F9570B">
        <w:rPr>
          <w:noProof/>
        </w:rPr>
        <w:t xml:space="preserve"> if it’s new or used, although they aren’t interested in electric cars.  Millennials would not buy a car based on what their family drives, but </w:t>
      </w:r>
      <w:r w:rsidR="00EC1509">
        <w:rPr>
          <w:noProof/>
        </w:rPr>
        <w:t xml:space="preserve">seek family approval  </w:t>
      </w:r>
      <w:r w:rsidR="009B7CDE">
        <w:rPr>
          <w:noProof/>
        </w:rPr>
        <w:t>and</w:t>
      </w:r>
      <w:r w:rsidR="00646E15">
        <w:rPr>
          <w:noProof/>
        </w:rPr>
        <w:t xml:space="preserve"> </w:t>
      </w:r>
      <w:r w:rsidR="00F9570B">
        <w:rPr>
          <w:noProof/>
        </w:rPr>
        <w:t xml:space="preserve">consider </w:t>
      </w:r>
      <w:r w:rsidR="002F43E5">
        <w:rPr>
          <w:noProof/>
        </w:rPr>
        <w:t>tradition</w:t>
      </w:r>
      <w:r w:rsidR="00EC1509">
        <w:rPr>
          <w:noProof/>
        </w:rPr>
        <w:t xml:space="preserve"> a big part of their lifestyle. </w:t>
      </w:r>
    </w:p>
    <w:p w:rsidR="000A731D" w:rsidRDefault="000979F4" w:rsidP="00FA4524">
      <w:pPr>
        <w:jc w:val="center"/>
        <w:rPr>
          <w:noProof/>
        </w:rPr>
      </w:pPr>
      <w:r>
        <w:rPr>
          <w:noProof/>
        </w:rPr>
        <w:t>Preferences Concerning Cars</w:t>
      </w:r>
    </w:p>
    <w:tbl>
      <w:tblPr>
        <w:tblStyle w:val="LightShading1"/>
        <w:tblW w:w="0" w:type="auto"/>
        <w:jc w:val="center"/>
        <w:tblLook w:val="04A0"/>
      </w:tblPr>
      <w:tblGrid>
        <w:gridCol w:w="4788"/>
        <w:gridCol w:w="1710"/>
      </w:tblGrid>
      <w:tr w:rsidR="000979F4" w:rsidTr="00FA4524">
        <w:trPr>
          <w:cnfStyle w:val="100000000000"/>
          <w:jc w:val="center"/>
        </w:trPr>
        <w:tc>
          <w:tcPr>
            <w:cnfStyle w:val="001000000000"/>
            <w:tcW w:w="4788" w:type="dxa"/>
          </w:tcPr>
          <w:p w:rsidR="000979F4" w:rsidRDefault="000979F4">
            <w:pPr>
              <w:rPr>
                <w:noProof/>
              </w:rPr>
            </w:pPr>
          </w:p>
        </w:tc>
        <w:tc>
          <w:tcPr>
            <w:tcW w:w="1710" w:type="dxa"/>
          </w:tcPr>
          <w:p w:rsidR="000979F4" w:rsidRDefault="000979F4">
            <w:pPr>
              <w:cnfStyle w:val="100000000000"/>
              <w:rPr>
                <w:noProof/>
              </w:rPr>
            </w:pPr>
            <w:r>
              <w:rPr>
                <w:noProof/>
              </w:rPr>
              <w:t>Likert Score</w:t>
            </w:r>
          </w:p>
        </w:tc>
      </w:tr>
      <w:tr w:rsidR="000979F4" w:rsidTr="00FA4524">
        <w:trPr>
          <w:cnfStyle w:val="000000100000"/>
          <w:jc w:val="center"/>
        </w:trPr>
        <w:tc>
          <w:tcPr>
            <w:cnfStyle w:val="001000000000"/>
            <w:tcW w:w="4788" w:type="dxa"/>
          </w:tcPr>
          <w:p w:rsidR="000979F4" w:rsidRDefault="000979F4">
            <w:pPr>
              <w:rPr>
                <w:noProof/>
              </w:rPr>
            </w:pPr>
            <w:r>
              <w:rPr>
                <w:noProof/>
              </w:rPr>
              <w:t>Price</w:t>
            </w:r>
          </w:p>
        </w:tc>
        <w:tc>
          <w:tcPr>
            <w:tcW w:w="1710" w:type="dxa"/>
          </w:tcPr>
          <w:p w:rsidR="000979F4" w:rsidRDefault="000979F4">
            <w:pPr>
              <w:cnfStyle w:val="000000100000"/>
              <w:rPr>
                <w:noProof/>
              </w:rPr>
            </w:pPr>
            <w:r>
              <w:rPr>
                <w:noProof/>
              </w:rPr>
              <w:t>4.58</w:t>
            </w:r>
          </w:p>
        </w:tc>
      </w:tr>
      <w:tr w:rsidR="000979F4" w:rsidTr="00FA4524">
        <w:trPr>
          <w:jc w:val="center"/>
        </w:trPr>
        <w:tc>
          <w:tcPr>
            <w:cnfStyle w:val="001000000000"/>
            <w:tcW w:w="4788" w:type="dxa"/>
          </w:tcPr>
          <w:p w:rsidR="000979F4" w:rsidRDefault="000979F4">
            <w:pPr>
              <w:rPr>
                <w:noProof/>
              </w:rPr>
            </w:pPr>
            <w:r>
              <w:rPr>
                <w:noProof/>
              </w:rPr>
              <w:t>Safety</w:t>
            </w:r>
          </w:p>
        </w:tc>
        <w:tc>
          <w:tcPr>
            <w:tcW w:w="1710" w:type="dxa"/>
          </w:tcPr>
          <w:p w:rsidR="000979F4" w:rsidRDefault="000979F4">
            <w:pPr>
              <w:cnfStyle w:val="000000000000"/>
              <w:rPr>
                <w:noProof/>
              </w:rPr>
            </w:pPr>
            <w:r>
              <w:rPr>
                <w:noProof/>
              </w:rPr>
              <w:t>4.19</w:t>
            </w:r>
          </w:p>
        </w:tc>
      </w:tr>
      <w:tr w:rsidR="000979F4" w:rsidTr="00FA4524">
        <w:trPr>
          <w:cnfStyle w:val="000000100000"/>
          <w:jc w:val="center"/>
        </w:trPr>
        <w:tc>
          <w:tcPr>
            <w:cnfStyle w:val="001000000000"/>
            <w:tcW w:w="4788" w:type="dxa"/>
          </w:tcPr>
          <w:p w:rsidR="000979F4" w:rsidRDefault="000979F4">
            <w:pPr>
              <w:rPr>
                <w:noProof/>
              </w:rPr>
            </w:pPr>
            <w:r>
              <w:rPr>
                <w:noProof/>
              </w:rPr>
              <w:t>Read Online Review Before Purchase</w:t>
            </w:r>
          </w:p>
        </w:tc>
        <w:tc>
          <w:tcPr>
            <w:tcW w:w="1710" w:type="dxa"/>
          </w:tcPr>
          <w:p w:rsidR="000979F4" w:rsidRDefault="000979F4">
            <w:pPr>
              <w:cnfStyle w:val="000000100000"/>
              <w:rPr>
                <w:noProof/>
              </w:rPr>
            </w:pPr>
            <w:r>
              <w:rPr>
                <w:noProof/>
              </w:rPr>
              <w:t>4.16</w:t>
            </w:r>
          </w:p>
        </w:tc>
      </w:tr>
      <w:tr w:rsidR="000979F4" w:rsidTr="00FA4524">
        <w:trPr>
          <w:jc w:val="center"/>
        </w:trPr>
        <w:tc>
          <w:tcPr>
            <w:cnfStyle w:val="001000000000"/>
            <w:tcW w:w="4788" w:type="dxa"/>
          </w:tcPr>
          <w:p w:rsidR="000979F4" w:rsidRDefault="000979F4">
            <w:pPr>
              <w:rPr>
                <w:noProof/>
              </w:rPr>
            </w:pPr>
            <w:r>
              <w:rPr>
                <w:noProof/>
              </w:rPr>
              <w:t>Listen To Experts Before Purchase</w:t>
            </w:r>
          </w:p>
        </w:tc>
        <w:tc>
          <w:tcPr>
            <w:tcW w:w="1710" w:type="dxa"/>
          </w:tcPr>
          <w:p w:rsidR="000979F4" w:rsidRDefault="00007159">
            <w:pPr>
              <w:cnfStyle w:val="000000000000"/>
              <w:rPr>
                <w:noProof/>
              </w:rPr>
            </w:pPr>
            <w:r>
              <w:rPr>
                <w:noProof/>
              </w:rPr>
              <w:t>3.87</w:t>
            </w:r>
          </w:p>
        </w:tc>
      </w:tr>
      <w:tr w:rsidR="000979F4" w:rsidTr="00FA4524">
        <w:trPr>
          <w:cnfStyle w:val="000000100000"/>
          <w:jc w:val="center"/>
        </w:trPr>
        <w:tc>
          <w:tcPr>
            <w:cnfStyle w:val="001000000000"/>
            <w:tcW w:w="4788" w:type="dxa"/>
          </w:tcPr>
          <w:p w:rsidR="000979F4" w:rsidRDefault="00007159">
            <w:pPr>
              <w:rPr>
                <w:noProof/>
              </w:rPr>
            </w:pPr>
            <w:r>
              <w:rPr>
                <w:noProof/>
              </w:rPr>
              <w:t>Listen to Family Before Purchase</w:t>
            </w:r>
          </w:p>
        </w:tc>
        <w:tc>
          <w:tcPr>
            <w:tcW w:w="1710" w:type="dxa"/>
          </w:tcPr>
          <w:p w:rsidR="000979F4" w:rsidRDefault="00007159">
            <w:pPr>
              <w:cnfStyle w:val="000000100000"/>
              <w:rPr>
                <w:noProof/>
              </w:rPr>
            </w:pPr>
            <w:r>
              <w:rPr>
                <w:noProof/>
              </w:rPr>
              <w:t>3.77</w:t>
            </w:r>
          </w:p>
        </w:tc>
      </w:tr>
      <w:tr w:rsidR="000979F4" w:rsidTr="00FA4524">
        <w:trPr>
          <w:jc w:val="center"/>
        </w:trPr>
        <w:tc>
          <w:tcPr>
            <w:cnfStyle w:val="001000000000"/>
            <w:tcW w:w="4788" w:type="dxa"/>
          </w:tcPr>
          <w:p w:rsidR="000979F4" w:rsidRDefault="00007159">
            <w:pPr>
              <w:rPr>
                <w:noProof/>
              </w:rPr>
            </w:pPr>
            <w:r>
              <w:rPr>
                <w:noProof/>
              </w:rPr>
              <w:t>Brand Reputation</w:t>
            </w:r>
          </w:p>
        </w:tc>
        <w:tc>
          <w:tcPr>
            <w:tcW w:w="1710" w:type="dxa"/>
          </w:tcPr>
          <w:p w:rsidR="000979F4" w:rsidRDefault="00007159">
            <w:pPr>
              <w:cnfStyle w:val="000000000000"/>
              <w:rPr>
                <w:noProof/>
              </w:rPr>
            </w:pPr>
            <w:r>
              <w:rPr>
                <w:noProof/>
              </w:rPr>
              <w:t>3.56</w:t>
            </w:r>
          </w:p>
        </w:tc>
      </w:tr>
      <w:tr w:rsidR="000979F4" w:rsidTr="00FA4524">
        <w:trPr>
          <w:cnfStyle w:val="000000100000"/>
          <w:jc w:val="center"/>
        </w:trPr>
        <w:tc>
          <w:tcPr>
            <w:cnfStyle w:val="001000000000"/>
            <w:tcW w:w="4788" w:type="dxa"/>
          </w:tcPr>
          <w:p w:rsidR="000979F4" w:rsidRDefault="00007159">
            <w:pPr>
              <w:rPr>
                <w:noProof/>
              </w:rPr>
            </w:pPr>
            <w:r>
              <w:rPr>
                <w:noProof/>
              </w:rPr>
              <w:t>Prefer Practicality Over Looks</w:t>
            </w:r>
          </w:p>
        </w:tc>
        <w:tc>
          <w:tcPr>
            <w:tcW w:w="1710" w:type="dxa"/>
          </w:tcPr>
          <w:p w:rsidR="000979F4" w:rsidRDefault="00007159">
            <w:pPr>
              <w:cnfStyle w:val="000000100000"/>
              <w:rPr>
                <w:noProof/>
              </w:rPr>
            </w:pPr>
            <w:r>
              <w:rPr>
                <w:noProof/>
              </w:rPr>
              <w:t>3.5</w:t>
            </w:r>
          </w:p>
        </w:tc>
      </w:tr>
      <w:tr w:rsidR="000979F4" w:rsidTr="00FA4524">
        <w:trPr>
          <w:jc w:val="center"/>
        </w:trPr>
        <w:tc>
          <w:tcPr>
            <w:cnfStyle w:val="001000000000"/>
            <w:tcW w:w="4788" w:type="dxa"/>
          </w:tcPr>
          <w:p w:rsidR="000979F4" w:rsidRDefault="00007159">
            <w:pPr>
              <w:rPr>
                <w:noProof/>
              </w:rPr>
            </w:pPr>
            <w:r>
              <w:rPr>
                <w:noProof/>
              </w:rPr>
              <w:t>Buying New Cars Over Used</w:t>
            </w:r>
          </w:p>
        </w:tc>
        <w:tc>
          <w:tcPr>
            <w:tcW w:w="1710" w:type="dxa"/>
          </w:tcPr>
          <w:p w:rsidR="000979F4" w:rsidRDefault="00007159">
            <w:pPr>
              <w:cnfStyle w:val="000000000000"/>
              <w:rPr>
                <w:noProof/>
              </w:rPr>
            </w:pPr>
            <w:r>
              <w:rPr>
                <w:noProof/>
              </w:rPr>
              <w:t>3.01</w:t>
            </w:r>
          </w:p>
        </w:tc>
      </w:tr>
      <w:tr w:rsidR="000979F4" w:rsidTr="00FA4524">
        <w:trPr>
          <w:cnfStyle w:val="000000100000"/>
          <w:jc w:val="center"/>
        </w:trPr>
        <w:tc>
          <w:tcPr>
            <w:cnfStyle w:val="001000000000"/>
            <w:tcW w:w="4788" w:type="dxa"/>
          </w:tcPr>
          <w:p w:rsidR="000979F4" w:rsidRDefault="00FA4524">
            <w:pPr>
              <w:rPr>
                <w:noProof/>
              </w:rPr>
            </w:pPr>
            <w:r>
              <w:rPr>
                <w:noProof/>
              </w:rPr>
              <w:t>Buying an All-electric Car</w:t>
            </w:r>
          </w:p>
        </w:tc>
        <w:tc>
          <w:tcPr>
            <w:tcW w:w="1710" w:type="dxa"/>
          </w:tcPr>
          <w:p w:rsidR="000979F4" w:rsidRDefault="00FA4524">
            <w:pPr>
              <w:cnfStyle w:val="000000100000"/>
              <w:rPr>
                <w:noProof/>
              </w:rPr>
            </w:pPr>
            <w:r>
              <w:rPr>
                <w:noProof/>
              </w:rPr>
              <w:t>3.01</w:t>
            </w:r>
          </w:p>
        </w:tc>
      </w:tr>
      <w:tr w:rsidR="000979F4" w:rsidTr="00FA4524">
        <w:trPr>
          <w:jc w:val="center"/>
        </w:trPr>
        <w:tc>
          <w:tcPr>
            <w:cnfStyle w:val="001000000000"/>
            <w:tcW w:w="4788" w:type="dxa"/>
          </w:tcPr>
          <w:p w:rsidR="000979F4" w:rsidRDefault="00FA4524">
            <w:pPr>
              <w:rPr>
                <w:noProof/>
              </w:rPr>
            </w:pPr>
            <w:r>
              <w:rPr>
                <w:noProof/>
              </w:rPr>
              <w:t>Celebrities on Car Ads Piquing Interest</w:t>
            </w:r>
          </w:p>
        </w:tc>
        <w:tc>
          <w:tcPr>
            <w:tcW w:w="1710" w:type="dxa"/>
          </w:tcPr>
          <w:p w:rsidR="000979F4" w:rsidRDefault="00FA4524">
            <w:pPr>
              <w:cnfStyle w:val="000000000000"/>
              <w:rPr>
                <w:noProof/>
              </w:rPr>
            </w:pPr>
            <w:r>
              <w:rPr>
                <w:noProof/>
              </w:rPr>
              <w:t>2.07</w:t>
            </w:r>
          </w:p>
        </w:tc>
      </w:tr>
    </w:tbl>
    <w:p w:rsidR="00F4151B" w:rsidRDefault="00F4151B" w:rsidP="00791731">
      <w:pPr>
        <w:jc w:val="center"/>
        <w:rPr>
          <w:noProof/>
        </w:rPr>
      </w:pPr>
    </w:p>
    <w:p w:rsidR="00791731" w:rsidRDefault="00791731" w:rsidP="00791731">
      <w:pPr>
        <w:jc w:val="center"/>
        <w:rPr>
          <w:noProof/>
        </w:rPr>
      </w:pPr>
    </w:p>
    <w:p w:rsidR="00791731" w:rsidRDefault="00791731" w:rsidP="00791731">
      <w:pPr>
        <w:jc w:val="center"/>
        <w:rPr>
          <w:noProof/>
        </w:rPr>
      </w:pPr>
    </w:p>
    <w:p w:rsidR="00791731" w:rsidRDefault="00791731" w:rsidP="00791731">
      <w:pPr>
        <w:jc w:val="center"/>
        <w:rPr>
          <w:noProof/>
        </w:rPr>
      </w:pPr>
    </w:p>
    <w:p w:rsidR="00791731" w:rsidRDefault="00791731" w:rsidP="00791731">
      <w:pPr>
        <w:jc w:val="center"/>
        <w:rPr>
          <w:noProof/>
        </w:rPr>
      </w:pPr>
    </w:p>
    <w:p w:rsidR="00791731" w:rsidRDefault="00791731" w:rsidP="00791731">
      <w:pPr>
        <w:jc w:val="center"/>
        <w:rPr>
          <w:noProof/>
        </w:rPr>
      </w:pPr>
    </w:p>
    <w:p w:rsidR="00791731" w:rsidRDefault="00791731" w:rsidP="00791731">
      <w:pPr>
        <w:jc w:val="center"/>
        <w:rPr>
          <w:noProof/>
        </w:rPr>
      </w:pPr>
      <w:r>
        <w:rPr>
          <w:noProof/>
        </w:rPr>
        <w:t>Most Important Feature in a Car</w:t>
      </w:r>
    </w:p>
    <w:p w:rsidR="00F4151B" w:rsidRDefault="00791731">
      <w:pPr>
        <w:rPr>
          <w:noProof/>
        </w:rPr>
      </w:pPr>
      <w:r>
        <w:rPr>
          <w:noProof/>
          <w:lang w:eastAsia="en-US"/>
        </w:rPr>
        <w:drawing>
          <wp:inline distT="0" distB="0" distL="0" distR="0">
            <wp:extent cx="5943600" cy="4457700"/>
            <wp:effectExtent l="19050" t="0" r="0" b="0"/>
            <wp:docPr id="11" name="Picture 1" descr="C:\Users\kmeiko\Desktop\Downloads\ChartExpo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iko\Desktop\Downloads\ChartExport (4).png"/>
                    <pic:cNvPicPr>
                      <a:picLocks noChangeAspect="1" noChangeArrowheads="1"/>
                    </pic:cNvPicPr>
                  </pic:nvPicPr>
                  <pic:blipFill>
                    <a:blip r:embed="rId10"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F4151B" w:rsidRDefault="00F4151B">
      <w:pPr>
        <w:rPr>
          <w:noProof/>
        </w:rPr>
      </w:pPr>
    </w:p>
    <w:p w:rsidR="00C26841" w:rsidRDefault="00C26841">
      <w:pPr>
        <w:rPr>
          <w:noProof/>
        </w:rPr>
      </w:pPr>
      <w:r>
        <w:rPr>
          <w:noProof/>
        </w:rPr>
        <w:t>KEY DIFFERENECES BY ETHNICITY</w:t>
      </w:r>
    </w:p>
    <w:p w:rsidR="00246CE5" w:rsidRDefault="00246CE5">
      <w:pPr>
        <w:rPr>
          <w:noProof/>
        </w:rPr>
      </w:pPr>
    </w:p>
    <w:p w:rsidR="003C09E5" w:rsidRDefault="00F46E7E" w:rsidP="003C09E5">
      <w:pPr>
        <w:spacing w:line="480" w:lineRule="auto"/>
        <w:ind w:firstLine="720"/>
        <w:rPr>
          <w:noProof/>
        </w:rPr>
      </w:pPr>
      <w:r>
        <w:rPr>
          <w:noProof/>
        </w:rPr>
        <w:t>Though there are many similaritie</w:t>
      </w:r>
      <w:r w:rsidR="003D4483">
        <w:rPr>
          <w:noProof/>
        </w:rPr>
        <w:t>s between Millennials, there were</w:t>
      </w:r>
      <w:r>
        <w:rPr>
          <w:noProof/>
        </w:rPr>
        <w:t xml:space="preserve"> some </w:t>
      </w:r>
      <w:r w:rsidR="003D4483">
        <w:rPr>
          <w:noProof/>
        </w:rPr>
        <w:t xml:space="preserve">differences in opinion with each race.  For example, Millennials drive cars and want cars, except Hispanics who drive cars but want SUVs.  While everyone favored “safety” as the most important feature in a vehicle, Hispanics rated both “safety” and “gas efficiency” as the most important features in a vehicle.  </w:t>
      </w:r>
      <w:r w:rsidR="003C09E5">
        <w:rPr>
          <w:noProof/>
        </w:rPr>
        <w:t xml:space="preserve">There was, though, little differences when comparing Caucasians to Multiculturals.  </w:t>
      </w:r>
    </w:p>
    <w:p w:rsidR="003C09E5" w:rsidRDefault="003C09E5" w:rsidP="003C09E5">
      <w:pPr>
        <w:spacing w:line="480" w:lineRule="auto"/>
        <w:ind w:firstLine="720"/>
        <w:rPr>
          <w:noProof/>
        </w:rPr>
      </w:pPr>
      <w:r>
        <w:rPr>
          <w:noProof/>
        </w:rPr>
        <w:t>African Americans were most likely to drive and prefer an American-made car, especially Chevys.  They were most lik</w:t>
      </w:r>
      <w:r w:rsidR="00646E15">
        <w:rPr>
          <w:noProof/>
        </w:rPr>
        <w:t xml:space="preserve">ely to prefer </w:t>
      </w:r>
      <w:r>
        <w:rPr>
          <w:noProof/>
        </w:rPr>
        <w:t xml:space="preserve"> practical cars and least likely to seek </w:t>
      </w:r>
      <w:r w:rsidR="00646E15">
        <w:rPr>
          <w:noProof/>
        </w:rPr>
        <w:t xml:space="preserve">a </w:t>
      </w:r>
      <w:r>
        <w:rPr>
          <w:noProof/>
        </w:rPr>
        <w:t xml:space="preserve">friend’s advice when buying cars.  </w:t>
      </w:r>
      <w:r>
        <w:rPr>
          <w:noProof/>
        </w:rPr>
        <w:lastRenderedPageBreak/>
        <w:t xml:space="preserve">They don’t care to buy electric cars but </w:t>
      </w:r>
      <w:r w:rsidR="00646E15">
        <w:rPr>
          <w:noProof/>
        </w:rPr>
        <w:t>are most likely to like ads that show</w:t>
      </w:r>
      <w:r w:rsidR="00C7426F">
        <w:rPr>
          <w:noProof/>
        </w:rPr>
        <w:t xml:space="preserve"> people </w:t>
      </w:r>
      <w:r>
        <w:rPr>
          <w:noProof/>
        </w:rPr>
        <w:t>driving</w:t>
      </w:r>
      <w:r w:rsidR="00C7426F">
        <w:rPr>
          <w:noProof/>
        </w:rPr>
        <w:t xml:space="preserve"> cars</w:t>
      </w:r>
      <w:r>
        <w:rPr>
          <w:noProof/>
        </w:rPr>
        <w:t>.  African Americans were most likely to prefer safety in a car.  They are generally neutral about the Nissan brand.  African Americans are proud of their cultural background and like seeing celebrities of their race in ads.  Their cultural background is very imporant to them.</w:t>
      </w:r>
    </w:p>
    <w:p w:rsidR="003C09E5" w:rsidRDefault="00725917" w:rsidP="00BA7EA8">
      <w:pPr>
        <w:spacing w:line="480" w:lineRule="auto"/>
        <w:ind w:firstLine="720"/>
        <w:rPr>
          <w:noProof/>
        </w:rPr>
      </w:pPr>
      <w:r>
        <w:rPr>
          <w:noProof/>
        </w:rPr>
        <w:t>Asians are</w:t>
      </w:r>
      <w:r w:rsidR="003C09E5">
        <w:rPr>
          <w:noProof/>
        </w:rPr>
        <w:t xml:space="preserve"> most likely to favor Asian brands, and don’t care for cars that a</w:t>
      </w:r>
      <w:r w:rsidR="0062004E">
        <w:rPr>
          <w:noProof/>
        </w:rPr>
        <w:t xml:space="preserve">re American-made.  Asian responents </w:t>
      </w:r>
      <w:r w:rsidR="00714C4D">
        <w:rPr>
          <w:noProof/>
        </w:rPr>
        <w:t xml:space="preserve">all </w:t>
      </w:r>
      <w:r w:rsidR="0062004E">
        <w:rPr>
          <w:noProof/>
        </w:rPr>
        <w:t xml:space="preserve">drove Japanese brands and were most likely to want a Japanese brand of car.  </w:t>
      </w:r>
      <w:r w:rsidR="00BA7EA8">
        <w:rPr>
          <w:noProof/>
        </w:rPr>
        <w:t xml:space="preserve">They were most likely to drive a Toyota but desire a Honda.  </w:t>
      </w:r>
      <w:r>
        <w:rPr>
          <w:noProof/>
        </w:rPr>
        <w:t xml:space="preserve">They were </w:t>
      </w:r>
      <w:r w:rsidR="003C09E5">
        <w:rPr>
          <w:noProof/>
        </w:rPr>
        <w:t>most likely to listen to their family.  They strongly relate to their cultural background and are most likely to participate in cultural events.  Asians enjoy seeing ads with aspects of their culture</w:t>
      </w:r>
      <w:r>
        <w:rPr>
          <w:noProof/>
        </w:rPr>
        <w:t xml:space="preserve"> and were</w:t>
      </w:r>
      <w:r w:rsidR="003C09E5">
        <w:rPr>
          <w:noProof/>
        </w:rPr>
        <w:t xml:space="preserve"> most likely to enjoy seeing celebrities of their race in ads.  </w:t>
      </w:r>
      <w:r w:rsidR="00714C4D">
        <w:rPr>
          <w:noProof/>
        </w:rPr>
        <w:t>Asian</w:t>
      </w:r>
      <w:r w:rsidR="00BA7EA8">
        <w:rPr>
          <w:noProof/>
        </w:rPr>
        <w:t>s</w:t>
      </w:r>
      <w:r w:rsidR="00714C4D">
        <w:rPr>
          <w:noProof/>
        </w:rPr>
        <w:t xml:space="preserve">, though, didn’t care to see cars </w:t>
      </w:r>
      <w:r w:rsidR="00C7426F">
        <w:rPr>
          <w:noProof/>
        </w:rPr>
        <w:t>in acton on</w:t>
      </w:r>
      <w:r w:rsidR="00714C4D">
        <w:rPr>
          <w:noProof/>
        </w:rPr>
        <w:t xml:space="preserve"> TV ads.  </w:t>
      </w:r>
      <w:r w:rsidR="003C09E5">
        <w:rPr>
          <w:noProof/>
        </w:rPr>
        <w:t xml:space="preserve">They were most likely to like Nissan and state that Nissan was a brand for them.  When buying a car, they were most likely to listen to family and experts </w:t>
      </w:r>
      <w:r w:rsidR="001F33F5">
        <w:rPr>
          <w:noProof/>
        </w:rPr>
        <w:t xml:space="preserve">.  All </w:t>
      </w:r>
      <w:r w:rsidR="003C09E5">
        <w:rPr>
          <w:noProof/>
        </w:rPr>
        <w:t>Asians</w:t>
      </w:r>
      <w:r w:rsidR="001F33F5">
        <w:rPr>
          <w:noProof/>
        </w:rPr>
        <w:t xml:space="preserve"> respondents</w:t>
      </w:r>
      <w:r w:rsidR="003C09E5">
        <w:rPr>
          <w:noProof/>
        </w:rPr>
        <w:t xml:space="preserve"> spoke fluent or some  foreign language.</w:t>
      </w:r>
    </w:p>
    <w:p w:rsidR="003D4483" w:rsidRDefault="003C09E5" w:rsidP="00725917">
      <w:pPr>
        <w:spacing w:line="480" w:lineRule="auto"/>
        <w:ind w:firstLine="720"/>
        <w:rPr>
          <w:noProof/>
        </w:rPr>
      </w:pPr>
      <w:r>
        <w:rPr>
          <w:noProof/>
        </w:rPr>
        <w:t xml:space="preserve">Hispanics want to drive SUVs and desire vehicles that are reliable but equally gas efficient.  They’re most likely to drive a Honda and most likely to desire Hondas.  They are most likely to consider price an important factor when buying a car and most likely to listen to close friends when buying a car.  Hispanics are least interested in cars when seeing cars drive on TV ads or a celebrity driving a car.  They prefer safe cars.   They are least favorable towards the Nissan brand and are least likely to find Nissan to be a brand for them.  They are most likely to find find family approval important and value their cultural background.  10 out of 17 people spoke little or fluent Spanish, in addition to English.  </w:t>
      </w:r>
    </w:p>
    <w:p w:rsidR="003D4483" w:rsidRDefault="003D4483">
      <w:pPr>
        <w:rPr>
          <w:noProof/>
        </w:rPr>
      </w:pPr>
    </w:p>
    <w:p w:rsidR="00E6171D" w:rsidRDefault="00E6171D">
      <w:pPr>
        <w:rPr>
          <w:noProof/>
        </w:rPr>
      </w:pPr>
    </w:p>
    <w:p w:rsidR="00E6171D" w:rsidRDefault="00E6171D">
      <w:pPr>
        <w:rPr>
          <w:noProof/>
        </w:rPr>
      </w:pPr>
    </w:p>
    <w:p w:rsidR="00E6171D" w:rsidRDefault="00E6171D">
      <w:pPr>
        <w:rPr>
          <w:noProof/>
        </w:rPr>
      </w:pPr>
    </w:p>
    <w:p w:rsidR="00E6171D" w:rsidRDefault="00E6171D">
      <w:pPr>
        <w:rPr>
          <w:noProof/>
        </w:rPr>
      </w:pPr>
    </w:p>
    <w:p w:rsidR="00EA1E09" w:rsidRDefault="00EA1E09">
      <w:pPr>
        <w:rPr>
          <w:noProof/>
        </w:rPr>
      </w:pPr>
    </w:p>
    <w:p w:rsidR="00F46E7E" w:rsidRDefault="00F46E7E">
      <w:pPr>
        <w:rPr>
          <w:noProof/>
        </w:rPr>
      </w:pPr>
    </w:p>
    <w:p w:rsidR="008C7B35" w:rsidRDefault="004C66F1" w:rsidP="00645A7A">
      <w:pPr>
        <w:jc w:val="center"/>
        <w:rPr>
          <w:noProof/>
        </w:rPr>
      </w:pPr>
      <w:r>
        <w:rPr>
          <w:noProof/>
        </w:rPr>
        <w:lastRenderedPageBreak/>
        <w:t>Listening to Close Friends When buyin a Vehicle</w:t>
      </w:r>
    </w:p>
    <w:tbl>
      <w:tblPr>
        <w:tblStyle w:val="LightShading1"/>
        <w:tblW w:w="0" w:type="auto"/>
        <w:jc w:val="center"/>
        <w:tblLook w:val="04A0"/>
      </w:tblPr>
      <w:tblGrid>
        <w:gridCol w:w="2459"/>
        <w:gridCol w:w="2459"/>
      </w:tblGrid>
      <w:tr w:rsidR="004C66F1" w:rsidTr="00FA2FB9">
        <w:trPr>
          <w:cnfStyle w:val="100000000000"/>
          <w:trHeight w:val="408"/>
          <w:jc w:val="center"/>
        </w:trPr>
        <w:tc>
          <w:tcPr>
            <w:cnfStyle w:val="001000000000"/>
            <w:tcW w:w="2459" w:type="dxa"/>
          </w:tcPr>
          <w:p w:rsidR="004C66F1" w:rsidRPr="004C66F1" w:rsidRDefault="008C7B35">
            <w:pPr>
              <w:rPr>
                <w:b w:val="0"/>
                <w:noProof/>
              </w:rPr>
            </w:pPr>
            <w:r>
              <w:rPr>
                <w:b w:val="0"/>
                <w:noProof/>
              </w:rPr>
              <w:t>Ethnicity</w:t>
            </w:r>
          </w:p>
        </w:tc>
        <w:tc>
          <w:tcPr>
            <w:tcW w:w="2459" w:type="dxa"/>
          </w:tcPr>
          <w:p w:rsidR="004C66F1" w:rsidRPr="004C66F1" w:rsidRDefault="004C66F1">
            <w:pPr>
              <w:cnfStyle w:val="100000000000"/>
              <w:rPr>
                <w:b w:val="0"/>
                <w:noProof/>
              </w:rPr>
            </w:pPr>
            <w:r w:rsidRPr="004C66F1">
              <w:rPr>
                <w:noProof/>
              </w:rPr>
              <w:t>Likert Score</w:t>
            </w:r>
          </w:p>
        </w:tc>
      </w:tr>
      <w:tr w:rsidR="004C66F1" w:rsidTr="00FA2FB9">
        <w:trPr>
          <w:cnfStyle w:val="000000100000"/>
          <w:trHeight w:val="408"/>
          <w:jc w:val="center"/>
        </w:trPr>
        <w:tc>
          <w:tcPr>
            <w:cnfStyle w:val="001000000000"/>
            <w:tcW w:w="2459" w:type="dxa"/>
          </w:tcPr>
          <w:p w:rsidR="004C66F1" w:rsidRDefault="004C66F1">
            <w:pPr>
              <w:rPr>
                <w:noProof/>
              </w:rPr>
            </w:pPr>
            <w:r>
              <w:rPr>
                <w:noProof/>
              </w:rPr>
              <w:t>African American</w:t>
            </w:r>
          </w:p>
        </w:tc>
        <w:tc>
          <w:tcPr>
            <w:tcW w:w="2459" w:type="dxa"/>
          </w:tcPr>
          <w:p w:rsidR="004C66F1" w:rsidRDefault="004C66F1">
            <w:pPr>
              <w:cnfStyle w:val="000000100000"/>
              <w:rPr>
                <w:noProof/>
              </w:rPr>
            </w:pPr>
            <w:r>
              <w:rPr>
                <w:noProof/>
              </w:rPr>
              <w:t>2.74</w:t>
            </w:r>
          </w:p>
        </w:tc>
      </w:tr>
      <w:tr w:rsidR="004C66F1" w:rsidTr="00FA2FB9">
        <w:trPr>
          <w:trHeight w:val="431"/>
          <w:jc w:val="center"/>
        </w:trPr>
        <w:tc>
          <w:tcPr>
            <w:cnfStyle w:val="001000000000"/>
            <w:tcW w:w="2459" w:type="dxa"/>
          </w:tcPr>
          <w:p w:rsidR="004C66F1" w:rsidRDefault="004C66F1">
            <w:pPr>
              <w:rPr>
                <w:noProof/>
              </w:rPr>
            </w:pPr>
            <w:r>
              <w:rPr>
                <w:noProof/>
              </w:rPr>
              <w:t>Asian American</w:t>
            </w:r>
          </w:p>
        </w:tc>
        <w:tc>
          <w:tcPr>
            <w:tcW w:w="2459" w:type="dxa"/>
          </w:tcPr>
          <w:p w:rsidR="004C66F1" w:rsidRDefault="004C66F1">
            <w:pPr>
              <w:cnfStyle w:val="000000000000"/>
              <w:rPr>
                <w:noProof/>
              </w:rPr>
            </w:pPr>
            <w:r>
              <w:rPr>
                <w:noProof/>
              </w:rPr>
              <w:t>3.5</w:t>
            </w:r>
          </w:p>
        </w:tc>
      </w:tr>
      <w:tr w:rsidR="004C66F1" w:rsidTr="00FA2FB9">
        <w:trPr>
          <w:cnfStyle w:val="000000100000"/>
          <w:trHeight w:val="408"/>
          <w:jc w:val="center"/>
        </w:trPr>
        <w:tc>
          <w:tcPr>
            <w:cnfStyle w:val="001000000000"/>
            <w:tcW w:w="2459" w:type="dxa"/>
          </w:tcPr>
          <w:p w:rsidR="004C66F1" w:rsidRDefault="004C66F1">
            <w:pPr>
              <w:rPr>
                <w:noProof/>
              </w:rPr>
            </w:pPr>
            <w:r>
              <w:rPr>
                <w:noProof/>
              </w:rPr>
              <w:t>Caucasian</w:t>
            </w:r>
          </w:p>
        </w:tc>
        <w:tc>
          <w:tcPr>
            <w:tcW w:w="2459" w:type="dxa"/>
          </w:tcPr>
          <w:p w:rsidR="004C66F1" w:rsidRDefault="004C66F1">
            <w:pPr>
              <w:cnfStyle w:val="000000100000"/>
              <w:rPr>
                <w:noProof/>
              </w:rPr>
            </w:pPr>
            <w:r>
              <w:rPr>
                <w:noProof/>
              </w:rPr>
              <w:t>3.13</w:t>
            </w:r>
          </w:p>
        </w:tc>
      </w:tr>
      <w:tr w:rsidR="004C66F1" w:rsidTr="00FA2FB9">
        <w:trPr>
          <w:trHeight w:val="408"/>
          <w:jc w:val="center"/>
        </w:trPr>
        <w:tc>
          <w:tcPr>
            <w:cnfStyle w:val="001000000000"/>
            <w:tcW w:w="2459" w:type="dxa"/>
          </w:tcPr>
          <w:p w:rsidR="004C66F1" w:rsidRDefault="004C66F1">
            <w:pPr>
              <w:rPr>
                <w:noProof/>
              </w:rPr>
            </w:pPr>
            <w:r>
              <w:rPr>
                <w:noProof/>
              </w:rPr>
              <w:t>Hispanic</w:t>
            </w:r>
          </w:p>
        </w:tc>
        <w:tc>
          <w:tcPr>
            <w:tcW w:w="2459" w:type="dxa"/>
          </w:tcPr>
          <w:p w:rsidR="004C66F1" w:rsidRDefault="004C66F1">
            <w:pPr>
              <w:cnfStyle w:val="000000000000"/>
              <w:rPr>
                <w:noProof/>
              </w:rPr>
            </w:pPr>
            <w:r>
              <w:rPr>
                <w:noProof/>
              </w:rPr>
              <w:t>3.88</w:t>
            </w:r>
          </w:p>
        </w:tc>
      </w:tr>
      <w:tr w:rsidR="004C66F1" w:rsidTr="00FA2FB9">
        <w:trPr>
          <w:cnfStyle w:val="000000100000"/>
          <w:trHeight w:val="431"/>
          <w:jc w:val="center"/>
        </w:trPr>
        <w:tc>
          <w:tcPr>
            <w:cnfStyle w:val="001000000000"/>
            <w:tcW w:w="2459" w:type="dxa"/>
          </w:tcPr>
          <w:p w:rsidR="004C66F1" w:rsidRDefault="004C66F1">
            <w:pPr>
              <w:rPr>
                <w:noProof/>
              </w:rPr>
            </w:pPr>
            <w:r>
              <w:rPr>
                <w:noProof/>
              </w:rPr>
              <w:t>Other</w:t>
            </w:r>
          </w:p>
        </w:tc>
        <w:tc>
          <w:tcPr>
            <w:tcW w:w="2459" w:type="dxa"/>
          </w:tcPr>
          <w:p w:rsidR="004C66F1" w:rsidRDefault="004C66F1">
            <w:pPr>
              <w:cnfStyle w:val="000000100000"/>
              <w:rPr>
                <w:noProof/>
              </w:rPr>
            </w:pPr>
            <w:r>
              <w:rPr>
                <w:noProof/>
              </w:rPr>
              <w:t>3.0</w:t>
            </w:r>
          </w:p>
        </w:tc>
      </w:tr>
    </w:tbl>
    <w:p w:rsidR="00AD0F1D" w:rsidRDefault="00AD0F1D">
      <w:pPr>
        <w:rPr>
          <w:noProof/>
        </w:rPr>
      </w:pPr>
    </w:p>
    <w:p w:rsidR="00B05C26" w:rsidRDefault="00B05C26">
      <w:pPr>
        <w:rPr>
          <w:noProof/>
        </w:rPr>
      </w:pPr>
    </w:p>
    <w:p w:rsidR="00AD0F1D" w:rsidRDefault="00AD0F1D">
      <w:pPr>
        <w:rPr>
          <w:noProof/>
        </w:rPr>
      </w:pPr>
    </w:p>
    <w:p w:rsidR="0069649C" w:rsidRDefault="00AD0F1D" w:rsidP="00AD0F1D">
      <w:pPr>
        <w:jc w:val="center"/>
        <w:rPr>
          <w:noProof/>
        </w:rPr>
      </w:pPr>
      <w:r>
        <w:rPr>
          <w:noProof/>
        </w:rPr>
        <w:t>Millennial’s Bran</w:t>
      </w:r>
      <w:r w:rsidR="00645A7A">
        <w:rPr>
          <w:noProof/>
        </w:rPr>
        <w:t>ds Currently Driven and Desired</w:t>
      </w:r>
    </w:p>
    <w:p w:rsidR="000F6F64" w:rsidRDefault="000F6F64" w:rsidP="00AD0F1D">
      <w:pPr>
        <w:jc w:val="center"/>
        <w:rPr>
          <w:noProof/>
        </w:rPr>
      </w:pPr>
      <w:r w:rsidRPr="000F6F64">
        <w:rPr>
          <w:noProof/>
          <w:lang w:eastAsia="en-US"/>
        </w:rPr>
        <w:drawing>
          <wp:inline distT="0" distB="0" distL="0" distR="0">
            <wp:extent cx="5943600" cy="3268980"/>
            <wp:effectExtent l="19050" t="0" r="1905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724E" w:rsidRDefault="0076724E">
      <w:pPr>
        <w:rPr>
          <w:noProof/>
        </w:rPr>
      </w:pPr>
    </w:p>
    <w:p w:rsidR="00B05C26" w:rsidRDefault="00B05C26">
      <w:pPr>
        <w:rPr>
          <w:noProof/>
        </w:rPr>
      </w:pPr>
    </w:p>
    <w:p w:rsidR="00B05C26" w:rsidRDefault="00B05C26">
      <w:pPr>
        <w:rPr>
          <w:noProof/>
        </w:rPr>
      </w:pPr>
    </w:p>
    <w:p w:rsidR="002D5732" w:rsidRDefault="002D5732" w:rsidP="002D5732">
      <w:pPr>
        <w:jc w:val="center"/>
        <w:rPr>
          <w:noProof/>
        </w:rPr>
      </w:pPr>
      <w:r>
        <w:rPr>
          <w:noProof/>
        </w:rPr>
        <w:t>Overall Feelings about Nissan</w:t>
      </w:r>
    </w:p>
    <w:tbl>
      <w:tblPr>
        <w:tblStyle w:val="LightShading1"/>
        <w:tblW w:w="0" w:type="auto"/>
        <w:jc w:val="center"/>
        <w:tblLook w:val="04A0"/>
      </w:tblPr>
      <w:tblGrid>
        <w:gridCol w:w="1350"/>
        <w:gridCol w:w="1350"/>
        <w:gridCol w:w="1350"/>
        <w:gridCol w:w="1350"/>
        <w:gridCol w:w="1351"/>
      </w:tblGrid>
      <w:tr w:rsidR="002D5732" w:rsidTr="00A536FA">
        <w:trPr>
          <w:cnfStyle w:val="100000000000"/>
          <w:trHeight w:val="651"/>
          <w:jc w:val="center"/>
        </w:trPr>
        <w:tc>
          <w:tcPr>
            <w:cnfStyle w:val="001000000000"/>
            <w:tcW w:w="1350" w:type="dxa"/>
          </w:tcPr>
          <w:p w:rsidR="002D5732" w:rsidRDefault="002D5732" w:rsidP="00A536FA">
            <w:pPr>
              <w:rPr>
                <w:noProof/>
              </w:rPr>
            </w:pPr>
          </w:p>
        </w:tc>
        <w:tc>
          <w:tcPr>
            <w:tcW w:w="1350" w:type="dxa"/>
          </w:tcPr>
          <w:p w:rsidR="002D5732" w:rsidRDefault="002D5732" w:rsidP="00A536FA">
            <w:pPr>
              <w:cnfStyle w:val="100000000000"/>
              <w:rPr>
                <w:noProof/>
              </w:rPr>
            </w:pPr>
            <w:r>
              <w:rPr>
                <w:noProof/>
              </w:rPr>
              <w:t>African Americans</w:t>
            </w:r>
          </w:p>
        </w:tc>
        <w:tc>
          <w:tcPr>
            <w:tcW w:w="1350" w:type="dxa"/>
          </w:tcPr>
          <w:p w:rsidR="002D5732" w:rsidRDefault="002D5732" w:rsidP="00A536FA">
            <w:pPr>
              <w:cnfStyle w:val="100000000000"/>
              <w:rPr>
                <w:noProof/>
              </w:rPr>
            </w:pPr>
            <w:r>
              <w:rPr>
                <w:noProof/>
              </w:rPr>
              <w:t>Asian Americans</w:t>
            </w:r>
          </w:p>
        </w:tc>
        <w:tc>
          <w:tcPr>
            <w:tcW w:w="1350" w:type="dxa"/>
          </w:tcPr>
          <w:p w:rsidR="002D5732" w:rsidRDefault="002D5732" w:rsidP="00A536FA">
            <w:pPr>
              <w:cnfStyle w:val="100000000000"/>
              <w:rPr>
                <w:noProof/>
              </w:rPr>
            </w:pPr>
            <w:r>
              <w:rPr>
                <w:noProof/>
              </w:rPr>
              <w:t>Caucasians</w:t>
            </w:r>
          </w:p>
        </w:tc>
        <w:tc>
          <w:tcPr>
            <w:tcW w:w="1351" w:type="dxa"/>
          </w:tcPr>
          <w:p w:rsidR="002D5732" w:rsidRDefault="002D5732" w:rsidP="00A536FA">
            <w:pPr>
              <w:cnfStyle w:val="100000000000"/>
              <w:rPr>
                <w:noProof/>
              </w:rPr>
            </w:pPr>
            <w:r>
              <w:rPr>
                <w:noProof/>
              </w:rPr>
              <w:t>Hispanics</w:t>
            </w:r>
          </w:p>
        </w:tc>
      </w:tr>
      <w:tr w:rsidR="002D5732" w:rsidTr="00A536FA">
        <w:trPr>
          <w:cnfStyle w:val="000000100000"/>
          <w:trHeight w:val="687"/>
          <w:jc w:val="center"/>
        </w:trPr>
        <w:tc>
          <w:tcPr>
            <w:cnfStyle w:val="001000000000"/>
            <w:tcW w:w="1350" w:type="dxa"/>
          </w:tcPr>
          <w:p w:rsidR="002D5732" w:rsidRDefault="002D5732" w:rsidP="00A536FA">
            <w:pPr>
              <w:rPr>
                <w:noProof/>
              </w:rPr>
            </w:pPr>
            <w:r>
              <w:rPr>
                <w:noProof/>
              </w:rPr>
              <w:t>Likert Score</w:t>
            </w:r>
          </w:p>
        </w:tc>
        <w:tc>
          <w:tcPr>
            <w:tcW w:w="1350" w:type="dxa"/>
          </w:tcPr>
          <w:p w:rsidR="002D5732" w:rsidRDefault="002D5732" w:rsidP="00A536FA">
            <w:pPr>
              <w:cnfStyle w:val="000000100000"/>
              <w:rPr>
                <w:noProof/>
              </w:rPr>
            </w:pPr>
            <w:r>
              <w:rPr>
                <w:noProof/>
              </w:rPr>
              <w:t>3.13</w:t>
            </w:r>
          </w:p>
        </w:tc>
        <w:tc>
          <w:tcPr>
            <w:tcW w:w="1350" w:type="dxa"/>
          </w:tcPr>
          <w:p w:rsidR="002D5732" w:rsidRDefault="002D5732" w:rsidP="00A536FA">
            <w:pPr>
              <w:cnfStyle w:val="000000100000"/>
              <w:rPr>
                <w:noProof/>
              </w:rPr>
            </w:pPr>
            <w:r>
              <w:rPr>
                <w:noProof/>
              </w:rPr>
              <w:t>2.17</w:t>
            </w:r>
          </w:p>
        </w:tc>
        <w:tc>
          <w:tcPr>
            <w:tcW w:w="1350" w:type="dxa"/>
          </w:tcPr>
          <w:p w:rsidR="002D5732" w:rsidRDefault="002D5732" w:rsidP="00A536FA">
            <w:pPr>
              <w:cnfStyle w:val="000000100000"/>
              <w:rPr>
                <w:noProof/>
              </w:rPr>
            </w:pPr>
            <w:r>
              <w:rPr>
                <w:noProof/>
              </w:rPr>
              <w:t>3.06</w:t>
            </w:r>
          </w:p>
        </w:tc>
        <w:tc>
          <w:tcPr>
            <w:tcW w:w="1351" w:type="dxa"/>
          </w:tcPr>
          <w:p w:rsidR="002D5732" w:rsidRDefault="002D5732" w:rsidP="00A536FA">
            <w:pPr>
              <w:cnfStyle w:val="000000100000"/>
              <w:rPr>
                <w:noProof/>
              </w:rPr>
            </w:pPr>
            <w:r>
              <w:rPr>
                <w:noProof/>
              </w:rPr>
              <w:t>3.41</w:t>
            </w:r>
          </w:p>
        </w:tc>
      </w:tr>
    </w:tbl>
    <w:p w:rsidR="002D5732" w:rsidRDefault="002D5732">
      <w:pPr>
        <w:rPr>
          <w:noProof/>
        </w:rPr>
      </w:pPr>
    </w:p>
    <w:p w:rsidR="002D5732" w:rsidRDefault="002D5732">
      <w:pPr>
        <w:rPr>
          <w:noProof/>
        </w:rPr>
      </w:pPr>
    </w:p>
    <w:p w:rsidR="00C26841" w:rsidRDefault="00C26841">
      <w:pPr>
        <w:rPr>
          <w:noProof/>
        </w:rPr>
      </w:pPr>
    </w:p>
    <w:p w:rsidR="00C26841" w:rsidRDefault="00C26841">
      <w:pPr>
        <w:rPr>
          <w:noProof/>
        </w:rPr>
      </w:pPr>
      <w:r>
        <w:rPr>
          <w:noProof/>
        </w:rPr>
        <w:t>SECONDARY RESEARCH AND FOCUS GROUP FINDINGS RELATING</w:t>
      </w:r>
    </w:p>
    <w:p w:rsidR="000A57AD" w:rsidRDefault="000A57AD">
      <w:pPr>
        <w:rPr>
          <w:noProof/>
        </w:rPr>
      </w:pPr>
    </w:p>
    <w:p w:rsidR="00725917" w:rsidRDefault="00D4218B" w:rsidP="00725917">
      <w:pPr>
        <w:spacing w:line="480" w:lineRule="auto"/>
        <w:ind w:firstLine="720"/>
        <w:rPr>
          <w:noProof/>
        </w:rPr>
      </w:pPr>
      <w:r>
        <w:rPr>
          <w:noProof/>
        </w:rPr>
        <w:t xml:space="preserve">After conducting this survey, there </w:t>
      </w:r>
      <w:r w:rsidR="00C7426F">
        <w:rPr>
          <w:noProof/>
        </w:rPr>
        <w:t xml:space="preserve">are </w:t>
      </w:r>
      <w:r>
        <w:rPr>
          <w:noProof/>
        </w:rPr>
        <w:t xml:space="preserve">consistent </w:t>
      </w:r>
      <w:r w:rsidR="005D0F3F">
        <w:rPr>
          <w:noProof/>
        </w:rPr>
        <w:t xml:space="preserve">similarities between </w:t>
      </w:r>
      <w:r w:rsidR="001E68B1">
        <w:rPr>
          <w:noProof/>
        </w:rPr>
        <w:t>the secondary and primary research concerning Multicultural Millennials.</w:t>
      </w:r>
    </w:p>
    <w:p w:rsidR="008F2327" w:rsidRDefault="00C7426F" w:rsidP="00725917">
      <w:pPr>
        <w:spacing w:line="480" w:lineRule="auto"/>
        <w:ind w:firstLine="720"/>
        <w:rPr>
          <w:noProof/>
        </w:rPr>
      </w:pPr>
      <w:r>
        <w:rPr>
          <w:noProof/>
        </w:rPr>
        <w:t>First</w:t>
      </w:r>
      <w:r w:rsidR="008F2327">
        <w:rPr>
          <w:noProof/>
        </w:rPr>
        <w:t>, Multicultural Millennials find price, safety and gas efficieny the important factors when choosing a car.  Price was stated as an important b</w:t>
      </w:r>
      <w:r w:rsidR="00057C1C">
        <w:rPr>
          <w:noProof/>
        </w:rPr>
        <w:t xml:space="preserve">uying factor in the focus group, while in the secondary research it was stated that they will pay more for a gas-efficient car.  </w:t>
      </w:r>
      <w:r w:rsidR="008F2327">
        <w:rPr>
          <w:noProof/>
        </w:rPr>
        <w:t xml:space="preserve">  As eco-friendly Millennials are, it is interesting to note that th</w:t>
      </w:r>
      <w:r w:rsidR="00496BDE">
        <w:rPr>
          <w:noProof/>
        </w:rPr>
        <w:t>ey did not prefer electric cars in the survey.</w:t>
      </w:r>
      <w:r w:rsidR="008F2327">
        <w:rPr>
          <w:noProof/>
        </w:rPr>
        <w:t xml:space="preserve">  This might be an indication of region, as many respondents </w:t>
      </w:r>
      <w:r w:rsidR="00725917">
        <w:rPr>
          <w:noProof/>
        </w:rPr>
        <w:t xml:space="preserve">were </w:t>
      </w:r>
      <w:r w:rsidR="008F2327">
        <w:rPr>
          <w:noProof/>
        </w:rPr>
        <w:t>Oklahoma</w:t>
      </w:r>
      <w:r w:rsidR="00725917">
        <w:rPr>
          <w:noProof/>
        </w:rPr>
        <w:t>ns</w:t>
      </w:r>
      <w:r w:rsidR="008F2327">
        <w:rPr>
          <w:noProof/>
        </w:rPr>
        <w:t xml:space="preserve">.  </w:t>
      </w:r>
      <w:r w:rsidR="00A37FA7">
        <w:rPr>
          <w:noProof/>
        </w:rPr>
        <w:t xml:space="preserve">In the survey it was found that Multicultural Millennials don’t care about getting new cars or are concerned about looks, which agrees with the secondary research that they don’t care much about cars.  </w:t>
      </w:r>
    </w:p>
    <w:p w:rsidR="00205972" w:rsidRDefault="00C7426F" w:rsidP="00725917">
      <w:pPr>
        <w:spacing w:line="480" w:lineRule="auto"/>
        <w:ind w:firstLine="720"/>
        <w:rPr>
          <w:noProof/>
        </w:rPr>
      </w:pPr>
      <w:r>
        <w:rPr>
          <w:noProof/>
        </w:rPr>
        <w:t>Second</w:t>
      </w:r>
      <w:r w:rsidR="00F212B8">
        <w:rPr>
          <w:noProof/>
        </w:rPr>
        <w:t>,</w:t>
      </w:r>
      <w:r>
        <w:rPr>
          <w:noProof/>
        </w:rPr>
        <w:t xml:space="preserve"> </w:t>
      </w:r>
      <w:r w:rsidR="00F212B8">
        <w:rPr>
          <w:noProof/>
        </w:rPr>
        <w:t>Multicultural Millennials listen</w:t>
      </w:r>
      <w:r w:rsidR="0023364E">
        <w:rPr>
          <w:noProof/>
        </w:rPr>
        <w:t xml:space="preserve"> heavily</w:t>
      </w:r>
      <w:r w:rsidR="00F212B8">
        <w:rPr>
          <w:noProof/>
        </w:rPr>
        <w:t xml:space="preserve"> to online reviews </w:t>
      </w:r>
      <w:r w:rsidR="0092678D">
        <w:rPr>
          <w:noProof/>
        </w:rPr>
        <w:t xml:space="preserve">and seek advice from experts.  They </w:t>
      </w:r>
      <w:r w:rsidR="00F212B8">
        <w:rPr>
          <w:noProof/>
        </w:rPr>
        <w:t>wan</w:t>
      </w:r>
      <w:r w:rsidR="0092678D">
        <w:rPr>
          <w:noProof/>
        </w:rPr>
        <w:t>t</w:t>
      </w:r>
      <w:r>
        <w:rPr>
          <w:noProof/>
        </w:rPr>
        <w:t xml:space="preserve"> </w:t>
      </w:r>
      <w:r w:rsidR="0092678D">
        <w:rPr>
          <w:noProof/>
        </w:rPr>
        <w:t xml:space="preserve">a reputable brand and to get </w:t>
      </w:r>
      <w:r w:rsidR="00F212B8">
        <w:rPr>
          <w:noProof/>
        </w:rPr>
        <w:t xml:space="preserve">the </w:t>
      </w:r>
      <w:r>
        <w:rPr>
          <w:noProof/>
        </w:rPr>
        <w:t>most for their money</w:t>
      </w:r>
      <w:r w:rsidR="00F212B8">
        <w:rPr>
          <w:noProof/>
        </w:rPr>
        <w:t xml:space="preserve"> especially if they are </w:t>
      </w:r>
      <w:r w:rsidR="0092678D">
        <w:rPr>
          <w:noProof/>
        </w:rPr>
        <w:t xml:space="preserve">going to spend a lot of money.  </w:t>
      </w:r>
      <w:r w:rsidR="00725917">
        <w:rPr>
          <w:noProof/>
        </w:rPr>
        <w:t xml:space="preserve">In the focus groups, it was stated that many Multicultural Millennials like to research before making a decision.  </w:t>
      </w:r>
      <w:r w:rsidR="006200B4">
        <w:rPr>
          <w:noProof/>
        </w:rPr>
        <w:t>With all the choices that are available to them, t</w:t>
      </w:r>
      <w:r w:rsidR="00681E43">
        <w:rPr>
          <w:noProof/>
        </w:rPr>
        <w:t>hey want to know why one car is better than the other</w:t>
      </w:r>
      <w:r w:rsidR="00725917">
        <w:rPr>
          <w:noProof/>
        </w:rPr>
        <w:t>, as stressed in the focus group</w:t>
      </w:r>
      <w:r w:rsidR="00681E43">
        <w:rPr>
          <w:noProof/>
        </w:rPr>
        <w:t xml:space="preserve">.  </w:t>
      </w:r>
      <w:r w:rsidR="0092678D">
        <w:rPr>
          <w:noProof/>
        </w:rPr>
        <w:t>Multicultural Millennial’s lives are continuously merging with technology.  The online world is</w:t>
      </w:r>
      <w:r w:rsidR="00182845">
        <w:rPr>
          <w:noProof/>
        </w:rPr>
        <w:t xml:space="preserve"> often times their real world, especially with social media sites like Facebook and Twitter.  </w:t>
      </w:r>
      <w:r w:rsidR="00725917">
        <w:rPr>
          <w:noProof/>
        </w:rPr>
        <w:t>If they want to know something, they Google it.  So, if they want to know what the most reliable and safe car is, they are going to check out an online review</w:t>
      </w:r>
      <w:r w:rsidR="00776EFB">
        <w:rPr>
          <w:noProof/>
        </w:rPr>
        <w:t xml:space="preserve"> or see what Carfax.com says.  </w:t>
      </w:r>
    </w:p>
    <w:p w:rsidR="007F6558" w:rsidRDefault="00C7426F" w:rsidP="000C23A8">
      <w:pPr>
        <w:spacing w:line="480" w:lineRule="auto"/>
        <w:ind w:firstLine="720"/>
        <w:rPr>
          <w:noProof/>
        </w:rPr>
      </w:pPr>
      <w:r>
        <w:rPr>
          <w:noProof/>
        </w:rPr>
        <w:t>Third</w:t>
      </w:r>
      <w:r w:rsidR="0023364E">
        <w:rPr>
          <w:noProof/>
        </w:rPr>
        <w:t>, Multicultural Millennials, having grown up in a comercially saturated wor</w:t>
      </w:r>
      <w:r w:rsidR="0062723E">
        <w:rPr>
          <w:noProof/>
        </w:rPr>
        <w:t>ld, are tired of the averag</w:t>
      </w:r>
      <w:r>
        <w:rPr>
          <w:noProof/>
        </w:rPr>
        <w:t>e</w:t>
      </w:r>
      <w:r w:rsidR="0062723E">
        <w:rPr>
          <w:noProof/>
        </w:rPr>
        <w:t xml:space="preserve">, </w:t>
      </w:r>
      <w:r w:rsidR="0023364E">
        <w:rPr>
          <w:noProof/>
        </w:rPr>
        <w:t xml:space="preserve"> generic ads.  They’ve</w:t>
      </w:r>
      <w:r w:rsidR="0062723E">
        <w:rPr>
          <w:noProof/>
        </w:rPr>
        <w:t xml:space="preserve"> seen it all.  </w:t>
      </w:r>
      <w:r w:rsidR="004017E7">
        <w:rPr>
          <w:noProof/>
        </w:rPr>
        <w:t xml:space="preserve">It’s going to take more than just an ad to gain their interest.  </w:t>
      </w:r>
      <w:r w:rsidR="00BF1830">
        <w:rPr>
          <w:noProof/>
        </w:rPr>
        <w:t>In one of the focus groups, few</w:t>
      </w:r>
      <w:r w:rsidR="00795ECB">
        <w:rPr>
          <w:noProof/>
        </w:rPr>
        <w:t xml:space="preserve"> Multicultural Millennials could not think of a car commercial, </w:t>
      </w:r>
      <w:r w:rsidR="00795ECB">
        <w:rPr>
          <w:noProof/>
        </w:rPr>
        <w:lastRenderedPageBreak/>
        <w:t xml:space="preserve">and </w:t>
      </w:r>
      <w:r w:rsidR="000E6B5C">
        <w:rPr>
          <w:noProof/>
        </w:rPr>
        <w:t xml:space="preserve">fewer could think of a car commercial they liked.  </w:t>
      </w:r>
      <w:r w:rsidR="00BF1830">
        <w:rPr>
          <w:noProof/>
        </w:rPr>
        <w:t xml:space="preserve">It was also found that they </w:t>
      </w:r>
      <w:r w:rsidR="001818D9">
        <w:rPr>
          <w:noProof/>
        </w:rPr>
        <w:t xml:space="preserve">generally enjoy ads that </w:t>
      </w:r>
      <w:r w:rsidR="00686CC6">
        <w:rPr>
          <w:noProof/>
        </w:rPr>
        <w:t>show aspects of their culture</w:t>
      </w:r>
      <w:r w:rsidR="00795ECB">
        <w:rPr>
          <w:noProof/>
        </w:rPr>
        <w:t xml:space="preserve">.  </w:t>
      </w:r>
    </w:p>
    <w:p w:rsidR="00E6171D" w:rsidRDefault="00C7426F" w:rsidP="000C23A8">
      <w:pPr>
        <w:spacing w:line="480" w:lineRule="auto"/>
        <w:ind w:firstLine="720"/>
        <w:rPr>
          <w:noProof/>
        </w:rPr>
      </w:pPr>
      <w:r>
        <w:rPr>
          <w:noProof/>
        </w:rPr>
        <w:t>Lastly</w:t>
      </w:r>
      <w:r w:rsidR="00E6171D">
        <w:rPr>
          <w:noProof/>
        </w:rPr>
        <w:t>, Multicultural Millennials are listen to their families.  Culture is a big part of their life</w:t>
      </w:r>
      <w:r w:rsidR="000C23A8">
        <w:rPr>
          <w:noProof/>
        </w:rPr>
        <w:t xml:space="preserve">.  Asians and Hispanics are more connected to foreign </w:t>
      </w:r>
      <w:r w:rsidR="00E71B3F">
        <w:rPr>
          <w:noProof/>
        </w:rPr>
        <w:t xml:space="preserve">countries and foreign languages, while African Americans are not.  </w:t>
      </w:r>
      <w:r w:rsidR="00245BF0">
        <w:rPr>
          <w:noProof/>
        </w:rPr>
        <w:t xml:space="preserve">Asians and Hispanics were most likely to identify with their native culture while African Americans were not.   </w:t>
      </w:r>
    </w:p>
    <w:p w:rsidR="00E6171D" w:rsidRDefault="00E6171D">
      <w:pPr>
        <w:rPr>
          <w:noProof/>
        </w:rPr>
      </w:pPr>
    </w:p>
    <w:p w:rsidR="00E6171D" w:rsidRDefault="00E6171D">
      <w:pPr>
        <w:rPr>
          <w:noProof/>
        </w:rPr>
      </w:pPr>
    </w:p>
    <w:p w:rsidR="007840D0" w:rsidRDefault="007840D0">
      <w:pPr>
        <w:rPr>
          <w:noProof/>
        </w:rPr>
      </w:pPr>
      <w:r>
        <w:rPr>
          <w:noProof/>
        </w:rPr>
        <w:t>RECCOMMENDATION</w:t>
      </w:r>
    </w:p>
    <w:p w:rsidR="00D617C5" w:rsidRDefault="00D617C5" w:rsidP="00D617C5">
      <w:pPr>
        <w:rPr>
          <w:noProof/>
        </w:rPr>
      </w:pPr>
    </w:p>
    <w:p w:rsidR="00C05BCD" w:rsidRDefault="00D617C5" w:rsidP="00C05BCD">
      <w:pPr>
        <w:spacing w:line="480" w:lineRule="auto"/>
        <w:rPr>
          <w:noProof/>
        </w:rPr>
      </w:pPr>
      <w:r>
        <w:rPr>
          <w:noProof/>
        </w:rPr>
        <w:t xml:space="preserve">Millennials have grown up with </w:t>
      </w:r>
      <w:r w:rsidR="00F263E2">
        <w:rPr>
          <w:noProof/>
        </w:rPr>
        <w:t xml:space="preserve">lots of options when it comes to buying.  </w:t>
      </w:r>
      <w:r w:rsidR="00A95D28">
        <w:rPr>
          <w:noProof/>
        </w:rPr>
        <w:t xml:space="preserve">They have grown up seeing tons </w:t>
      </w:r>
      <w:r w:rsidR="00ED31D1">
        <w:rPr>
          <w:noProof/>
        </w:rPr>
        <w:t>of ads, and have the ability to</w:t>
      </w:r>
      <w:r w:rsidR="00F263E2">
        <w:rPr>
          <w:noProof/>
        </w:rPr>
        <w:t xml:space="preserve"> be smart shoppers thanks to the Internet</w:t>
      </w:r>
      <w:r w:rsidR="00A95D28">
        <w:rPr>
          <w:noProof/>
        </w:rPr>
        <w:t xml:space="preserve">.  </w:t>
      </w:r>
      <w:r w:rsidR="00ED31D1">
        <w:rPr>
          <w:noProof/>
        </w:rPr>
        <w:t xml:space="preserve">Multicultural Millennials have grown up in an </w:t>
      </w:r>
      <w:r w:rsidR="00396E19">
        <w:rPr>
          <w:noProof/>
        </w:rPr>
        <w:t xml:space="preserve">environment where the consumer is in charge, not the corporation.  </w:t>
      </w:r>
      <w:r w:rsidR="00C05BCD">
        <w:rPr>
          <w:noProof/>
        </w:rPr>
        <w:t>Because they are used to companies catering to their need, many Millennieals might want incentives when buying a car.  They want their moneys worth, and will listen to a company who will accommodate and appreciate them.  Also, since Nissan is seen as an expensive brand, it is important to show the affordability of Nissan’s cars.  This could mean putting an example loand price at the end of their commercials.</w:t>
      </w:r>
    </w:p>
    <w:p w:rsidR="0023364E" w:rsidRDefault="00A4179D" w:rsidP="00A4179D">
      <w:pPr>
        <w:spacing w:line="480" w:lineRule="auto"/>
        <w:rPr>
          <w:noProof/>
        </w:rPr>
      </w:pPr>
      <w:r>
        <w:rPr>
          <w:noProof/>
        </w:rPr>
        <w:tab/>
        <w:t>Nissan should consider taking a non-conventional approach to advertising.  Most Multicultural Millennials do not think much of N</w:t>
      </w:r>
      <w:r w:rsidR="00C7426F">
        <w:rPr>
          <w:noProof/>
        </w:rPr>
        <w:t>issan.  Though this is a weaknes</w:t>
      </w:r>
      <w:r>
        <w:rPr>
          <w:noProof/>
        </w:rPr>
        <w:t>s, it is also a great chance</w:t>
      </w:r>
      <w:r w:rsidR="00C7426F">
        <w:rPr>
          <w:noProof/>
        </w:rPr>
        <w:t xml:space="preserve"> to</w:t>
      </w:r>
      <w:r>
        <w:rPr>
          <w:noProof/>
        </w:rPr>
        <w:t xml:space="preserve"> create an image for themselves.  In this survey, most Multicultural Millennials did not prefer commericals with </w:t>
      </w:r>
      <w:r w:rsidR="00C7426F">
        <w:rPr>
          <w:noProof/>
        </w:rPr>
        <w:t xml:space="preserve">people </w:t>
      </w:r>
      <w:r>
        <w:rPr>
          <w:noProof/>
        </w:rPr>
        <w:t>driving</w:t>
      </w:r>
      <w:r w:rsidR="00C7426F">
        <w:rPr>
          <w:noProof/>
        </w:rPr>
        <w:t xml:space="preserve"> cars</w:t>
      </w:r>
      <w:r>
        <w:rPr>
          <w:noProof/>
        </w:rPr>
        <w:t xml:space="preserve"> in them, except for African Americans.  This was also found to be true</w:t>
      </w:r>
      <w:r w:rsidR="00133B5E">
        <w:rPr>
          <w:noProof/>
        </w:rPr>
        <w:t xml:space="preserve"> in the focus groups previously conducted.  Nissan must do more than just put a TV ad to grab their attention.  </w:t>
      </w:r>
      <w:r w:rsidR="00A303B4">
        <w:rPr>
          <w:noProof/>
        </w:rPr>
        <w:t>I</w:t>
      </w:r>
      <w:r w:rsidR="0023364E">
        <w:rPr>
          <w:noProof/>
        </w:rPr>
        <w:t>t is extremely important for Nissan to build an online presence and to stress any awards they have won</w:t>
      </w:r>
      <w:r w:rsidR="007510B5">
        <w:rPr>
          <w:noProof/>
        </w:rPr>
        <w:t xml:space="preserve">.  </w:t>
      </w:r>
    </w:p>
    <w:sectPr w:rsidR="0023364E" w:rsidSect="00E34B54">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F3" w:rsidRDefault="003764F3" w:rsidP="00514276">
      <w:pPr>
        <w:spacing w:line="240" w:lineRule="auto"/>
      </w:pPr>
      <w:r>
        <w:separator/>
      </w:r>
    </w:p>
  </w:endnote>
  <w:endnote w:type="continuationSeparator" w:id="0">
    <w:p w:rsidR="003764F3" w:rsidRDefault="003764F3" w:rsidP="005142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F3" w:rsidRDefault="003764F3" w:rsidP="00514276">
      <w:pPr>
        <w:spacing w:line="240" w:lineRule="auto"/>
      </w:pPr>
      <w:r>
        <w:separator/>
      </w:r>
    </w:p>
  </w:footnote>
  <w:footnote w:type="continuationSeparator" w:id="0">
    <w:p w:rsidR="003764F3" w:rsidRDefault="003764F3" w:rsidP="005142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10153833"/>
      <w:docPartObj>
        <w:docPartGallery w:val="Page Numbers (Top of Page)"/>
        <w:docPartUnique/>
      </w:docPartObj>
    </w:sdtPr>
    <w:sdtEndPr>
      <w:rPr>
        <w:spacing w:val="0"/>
      </w:rPr>
    </w:sdtEndPr>
    <w:sdtContent>
      <w:p w:rsidR="00795ECB" w:rsidRDefault="00795ECB">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5E4EB3" w:rsidRPr="005E4EB3">
          <w:fldChar w:fldCharType="begin"/>
        </w:r>
        <w:r>
          <w:instrText xml:space="preserve"> PAGE   \* MERGEFORMAT </w:instrText>
        </w:r>
        <w:r w:rsidR="005E4EB3" w:rsidRPr="005E4EB3">
          <w:fldChar w:fldCharType="separate"/>
        </w:r>
        <w:r w:rsidR="00C7426F" w:rsidRPr="00C7426F">
          <w:rPr>
            <w:b/>
            <w:noProof/>
          </w:rPr>
          <w:t>10</w:t>
        </w:r>
        <w:r w:rsidR="005E4EB3">
          <w:rPr>
            <w:b/>
            <w:noProof/>
          </w:rPr>
          <w:fldChar w:fldCharType="end"/>
        </w:r>
      </w:p>
    </w:sdtContent>
  </w:sdt>
  <w:p w:rsidR="00795ECB" w:rsidRDefault="00795ECB" w:rsidP="00AD23F8">
    <w:pPr>
      <w:spacing w:line="480" w:lineRule="auto"/>
    </w:pPr>
    <w:r>
      <w:t>Nissan Quantitative Survey Report</w:t>
    </w:r>
  </w:p>
  <w:p w:rsidR="00795ECB" w:rsidRDefault="00795E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C9107D"/>
    <w:rsid w:val="00007159"/>
    <w:rsid w:val="000232F3"/>
    <w:rsid w:val="00043DE6"/>
    <w:rsid w:val="00054EA5"/>
    <w:rsid w:val="00056DC9"/>
    <w:rsid w:val="00057C1C"/>
    <w:rsid w:val="000979F4"/>
    <w:rsid w:val="000A56D6"/>
    <w:rsid w:val="000A57AD"/>
    <w:rsid w:val="000A731D"/>
    <w:rsid w:val="000C23A8"/>
    <w:rsid w:val="000D5CD4"/>
    <w:rsid w:val="000E6B5C"/>
    <w:rsid w:val="000F6F64"/>
    <w:rsid w:val="00112A46"/>
    <w:rsid w:val="001323E2"/>
    <w:rsid w:val="00133B5E"/>
    <w:rsid w:val="00145609"/>
    <w:rsid w:val="00164D2D"/>
    <w:rsid w:val="0017151F"/>
    <w:rsid w:val="00181366"/>
    <w:rsid w:val="001818D9"/>
    <w:rsid w:val="00182845"/>
    <w:rsid w:val="001A5AEE"/>
    <w:rsid w:val="001A74F5"/>
    <w:rsid w:val="001C08BC"/>
    <w:rsid w:val="001E68B1"/>
    <w:rsid w:val="001F3243"/>
    <w:rsid w:val="001F33F5"/>
    <w:rsid w:val="001F761E"/>
    <w:rsid w:val="00200CCC"/>
    <w:rsid w:val="00205972"/>
    <w:rsid w:val="0023364E"/>
    <w:rsid w:val="00245BF0"/>
    <w:rsid w:val="00246CE5"/>
    <w:rsid w:val="00256676"/>
    <w:rsid w:val="00282DAA"/>
    <w:rsid w:val="002A7B28"/>
    <w:rsid w:val="002C0F11"/>
    <w:rsid w:val="002D5732"/>
    <w:rsid w:val="002D6E07"/>
    <w:rsid w:val="002E7777"/>
    <w:rsid w:val="002F43E5"/>
    <w:rsid w:val="00310D49"/>
    <w:rsid w:val="0031709F"/>
    <w:rsid w:val="00330975"/>
    <w:rsid w:val="00331507"/>
    <w:rsid w:val="00354AC5"/>
    <w:rsid w:val="003737E6"/>
    <w:rsid w:val="003764F3"/>
    <w:rsid w:val="00396E19"/>
    <w:rsid w:val="003A6905"/>
    <w:rsid w:val="003B1E52"/>
    <w:rsid w:val="003C09E5"/>
    <w:rsid w:val="003C2647"/>
    <w:rsid w:val="003D4483"/>
    <w:rsid w:val="003F150C"/>
    <w:rsid w:val="004017E7"/>
    <w:rsid w:val="004044D1"/>
    <w:rsid w:val="00413359"/>
    <w:rsid w:val="00415093"/>
    <w:rsid w:val="00416BFB"/>
    <w:rsid w:val="00420688"/>
    <w:rsid w:val="0044371D"/>
    <w:rsid w:val="00460549"/>
    <w:rsid w:val="0047285C"/>
    <w:rsid w:val="004831BD"/>
    <w:rsid w:val="004873E2"/>
    <w:rsid w:val="00496BDE"/>
    <w:rsid w:val="004C66F1"/>
    <w:rsid w:val="00514276"/>
    <w:rsid w:val="00543CD0"/>
    <w:rsid w:val="00564D58"/>
    <w:rsid w:val="005719F2"/>
    <w:rsid w:val="00576A96"/>
    <w:rsid w:val="005773F3"/>
    <w:rsid w:val="005866EA"/>
    <w:rsid w:val="005B1A31"/>
    <w:rsid w:val="005B4CFB"/>
    <w:rsid w:val="005D0F3F"/>
    <w:rsid w:val="005E4EB3"/>
    <w:rsid w:val="00607A5C"/>
    <w:rsid w:val="0062004E"/>
    <w:rsid w:val="006200B4"/>
    <w:rsid w:val="0062723E"/>
    <w:rsid w:val="00634CE6"/>
    <w:rsid w:val="00645A7A"/>
    <w:rsid w:val="00646E15"/>
    <w:rsid w:val="006757C0"/>
    <w:rsid w:val="00675B4E"/>
    <w:rsid w:val="00681E43"/>
    <w:rsid w:val="00686CC6"/>
    <w:rsid w:val="0069649C"/>
    <w:rsid w:val="00697BC6"/>
    <w:rsid w:val="006D4214"/>
    <w:rsid w:val="007104B1"/>
    <w:rsid w:val="00714C4D"/>
    <w:rsid w:val="00725917"/>
    <w:rsid w:val="00731F0A"/>
    <w:rsid w:val="00743988"/>
    <w:rsid w:val="007510B5"/>
    <w:rsid w:val="0076724E"/>
    <w:rsid w:val="00776EFB"/>
    <w:rsid w:val="007840D0"/>
    <w:rsid w:val="00791731"/>
    <w:rsid w:val="00795ECB"/>
    <w:rsid w:val="007A6875"/>
    <w:rsid w:val="007F6558"/>
    <w:rsid w:val="00813D42"/>
    <w:rsid w:val="008157FF"/>
    <w:rsid w:val="00823D88"/>
    <w:rsid w:val="00851804"/>
    <w:rsid w:val="00865483"/>
    <w:rsid w:val="008721E3"/>
    <w:rsid w:val="00891E3E"/>
    <w:rsid w:val="008A1D15"/>
    <w:rsid w:val="008A2E5F"/>
    <w:rsid w:val="008A4FDC"/>
    <w:rsid w:val="008C7B35"/>
    <w:rsid w:val="008F2327"/>
    <w:rsid w:val="009057E9"/>
    <w:rsid w:val="0092678D"/>
    <w:rsid w:val="009444BE"/>
    <w:rsid w:val="009512CF"/>
    <w:rsid w:val="009754B1"/>
    <w:rsid w:val="009754CD"/>
    <w:rsid w:val="009A4E8E"/>
    <w:rsid w:val="009B7CDE"/>
    <w:rsid w:val="009D4F9E"/>
    <w:rsid w:val="009F7FB2"/>
    <w:rsid w:val="00A13B79"/>
    <w:rsid w:val="00A1612F"/>
    <w:rsid w:val="00A303B4"/>
    <w:rsid w:val="00A37FA7"/>
    <w:rsid w:val="00A4179D"/>
    <w:rsid w:val="00A61931"/>
    <w:rsid w:val="00A67625"/>
    <w:rsid w:val="00A775AE"/>
    <w:rsid w:val="00A95D28"/>
    <w:rsid w:val="00AB2044"/>
    <w:rsid w:val="00AC21B9"/>
    <w:rsid w:val="00AD0F1D"/>
    <w:rsid w:val="00AD23F8"/>
    <w:rsid w:val="00AF3DF0"/>
    <w:rsid w:val="00B05C26"/>
    <w:rsid w:val="00B26343"/>
    <w:rsid w:val="00B36E9B"/>
    <w:rsid w:val="00B51207"/>
    <w:rsid w:val="00BA7EA8"/>
    <w:rsid w:val="00BB0CAC"/>
    <w:rsid w:val="00BC1926"/>
    <w:rsid w:val="00BD7576"/>
    <w:rsid w:val="00BF1830"/>
    <w:rsid w:val="00C05BCD"/>
    <w:rsid w:val="00C26841"/>
    <w:rsid w:val="00C33360"/>
    <w:rsid w:val="00C34CC9"/>
    <w:rsid w:val="00C430F5"/>
    <w:rsid w:val="00C54D3F"/>
    <w:rsid w:val="00C64882"/>
    <w:rsid w:val="00C7426F"/>
    <w:rsid w:val="00C8574E"/>
    <w:rsid w:val="00C9107D"/>
    <w:rsid w:val="00CE188F"/>
    <w:rsid w:val="00D04FDA"/>
    <w:rsid w:val="00D243B7"/>
    <w:rsid w:val="00D4218B"/>
    <w:rsid w:val="00D53F4D"/>
    <w:rsid w:val="00D617C5"/>
    <w:rsid w:val="00DB3F6A"/>
    <w:rsid w:val="00DC1B55"/>
    <w:rsid w:val="00DE19AB"/>
    <w:rsid w:val="00E22F5D"/>
    <w:rsid w:val="00E34B54"/>
    <w:rsid w:val="00E47662"/>
    <w:rsid w:val="00E6171D"/>
    <w:rsid w:val="00E635B5"/>
    <w:rsid w:val="00E70B0E"/>
    <w:rsid w:val="00E71B3F"/>
    <w:rsid w:val="00E723A8"/>
    <w:rsid w:val="00E81DCC"/>
    <w:rsid w:val="00EA1E09"/>
    <w:rsid w:val="00EB799D"/>
    <w:rsid w:val="00EC1509"/>
    <w:rsid w:val="00ED31D1"/>
    <w:rsid w:val="00EF7552"/>
    <w:rsid w:val="00F062EA"/>
    <w:rsid w:val="00F212B8"/>
    <w:rsid w:val="00F24C41"/>
    <w:rsid w:val="00F263E2"/>
    <w:rsid w:val="00F4151B"/>
    <w:rsid w:val="00F46E7E"/>
    <w:rsid w:val="00F62945"/>
    <w:rsid w:val="00F7325C"/>
    <w:rsid w:val="00F75CE3"/>
    <w:rsid w:val="00F8290F"/>
    <w:rsid w:val="00F86232"/>
    <w:rsid w:val="00F9570B"/>
    <w:rsid w:val="00FA2FB9"/>
    <w:rsid w:val="00FA4524"/>
    <w:rsid w:val="00FB5630"/>
    <w:rsid w:val="00FF2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9107D"/>
  </w:style>
  <w:style w:type="character" w:customStyle="1" w:styleId="DateChar">
    <w:name w:val="Date Char"/>
    <w:basedOn w:val="DefaultParagraphFont"/>
    <w:link w:val="Date"/>
    <w:uiPriority w:val="99"/>
    <w:semiHidden/>
    <w:rsid w:val="00C9107D"/>
  </w:style>
  <w:style w:type="paragraph" w:styleId="BalloonText">
    <w:name w:val="Balloon Text"/>
    <w:basedOn w:val="Normal"/>
    <w:link w:val="BalloonTextChar"/>
    <w:uiPriority w:val="99"/>
    <w:semiHidden/>
    <w:unhideWhenUsed/>
    <w:rsid w:val="00564D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D58"/>
    <w:rPr>
      <w:rFonts w:ascii="Tahoma" w:hAnsi="Tahoma" w:cs="Tahoma"/>
      <w:sz w:val="16"/>
      <w:szCs w:val="16"/>
    </w:rPr>
  </w:style>
  <w:style w:type="table" w:styleId="TableGrid">
    <w:name w:val="Table Grid"/>
    <w:basedOn w:val="TableNormal"/>
    <w:uiPriority w:val="59"/>
    <w:rsid w:val="004C66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C0F11"/>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2C0F1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8C7B35"/>
    <w:pPr>
      <w:spacing w:line="240" w:lineRule="auto"/>
    </w:pPr>
    <w:rPr>
      <w:rFonts w:asciiTheme="majorHAnsi" w:eastAsiaTheme="majorEastAsia" w:hAnsiTheme="majorHAnsi" w:cstheme="majorBidi"/>
      <w:color w:val="000000" w:themeColor="text1"/>
      <w:lang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8C7B35"/>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514276"/>
    <w:pPr>
      <w:tabs>
        <w:tab w:val="center" w:pos="4680"/>
        <w:tab w:val="right" w:pos="9360"/>
      </w:tabs>
      <w:spacing w:line="240" w:lineRule="auto"/>
    </w:pPr>
  </w:style>
  <w:style w:type="character" w:customStyle="1" w:styleId="HeaderChar">
    <w:name w:val="Header Char"/>
    <w:basedOn w:val="DefaultParagraphFont"/>
    <w:link w:val="Header"/>
    <w:uiPriority w:val="99"/>
    <w:rsid w:val="00514276"/>
  </w:style>
  <w:style w:type="paragraph" w:styleId="Footer">
    <w:name w:val="footer"/>
    <w:basedOn w:val="Normal"/>
    <w:link w:val="FooterChar"/>
    <w:uiPriority w:val="99"/>
    <w:semiHidden/>
    <w:unhideWhenUsed/>
    <w:rsid w:val="0051427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14276"/>
  </w:style>
  <w:style w:type="paragraph" w:customStyle="1" w:styleId="DecimalAligned">
    <w:name w:val="Decimal Aligned"/>
    <w:basedOn w:val="Normal"/>
    <w:uiPriority w:val="40"/>
    <w:qFormat/>
    <w:rsid w:val="005719F2"/>
    <w:pPr>
      <w:tabs>
        <w:tab w:val="decimal" w:pos="360"/>
      </w:tabs>
      <w:spacing w:after="200"/>
    </w:pPr>
    <w:rPr>
      <w:lang w:eastAsia="en-US"/>
    </w:rPr>
  </w:style>
  <w:style w:type="paragraph" w:styleId="FootnoteText">
    <w:name w:val="footnote text"/>
    <w:basedOn w:val="Normal"/>
    <w:link w:val="FootnoteTextChar"/>
    <w:uiPriority w:val="99"/>
    <w:unhideWhenUsed/>
    <w:rsid w:val="005719F2"/>
    <w:pPr>
      <w:spacing w:line="240" w:lineRule="auto"/>
    </w:pPr>
    <w:rPr>
      <w:sz w:val="20"/>
      <w:szCs w:val="20"/>
      <w:lang w:eastAsia="en-US"/>
    </w:rPr>
  </w:style>
  <w:style w:type="character" w:customStyle="1" w:styleId="FootnoteTextChar">
    <w:name w:val="Footnote Text Char"/>
    <w:basedOn w:val="DefaultParagraphFont"/>
    <w:link w:val="FootnoteText"/>
    <w:uiPriority w:val="99"/>
    <w:rsid w:val="005719F2"/>
    <w:rPr>
      <w:sz w:val="20"/>
      <w:szCs w:val="20"/>
      <w:lang w:eastAsia="en-US"/>
    </w:rPr>
  </w:style>
  <w:style w:type="character" w:styleId="SubtleEmphasis">
    <w:name w:val="Subtle Emphasis"/>
    <w:basedOn w:val="DefaultParagraphFont"/>
    <w:uiPriority w:val="19"/>
    <w:qFormat/>
    <w:rsid w:val="005719F2"/>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5719F2"/>
    <w:pPr>
      <w:spacing w:line="240" w:lineRule="auto"/>
    </w:pPr>
    <w:rPr>
      <w:lang w:eastAsia="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9107D"/>
  </w:style>
  <w:style w:type="character" w:customStyle="1" w:styleId="DateChar">
    <w:name w:val="Date Char"/>
    <w:basedOn w:val="DefaultParagraphFont"/>
    <w:link w:val="Date"/>
    <w:uiPriority w:val="99"/>
    <w:semiHidden/>
    <w:rsid w:val="00C9107D"/>
  </w:style>
  <w:style w:type="paragraph" w:styleId="BalloonText">
    <w:name w:val="Balloon Text"/>
    <w:basedOn w:val="Normal"/>
    <w:link w:val="BalloonTextChar"/>
    <w:uiPriority w:val="99"/>
    <w:semiHidden/>
    <w:unhideWhenUsed/>
    <w:rsid w:val="00564D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D58"/>
    <w:rPr>
      <w:rFonts w:ascii="Tahoma" w:hAnsi="Tahoma" w:cs="Tahoma"/>
      <w:sz w:val="16"/>
      <w:szCs w:val="16"/>
    </w:rPr>
  </w:style>
  <w:style w:type="table" w:styleId="TableGrid">
    <w:name w:val="Table Grid"/>
    <w:basedOn w:val="TableNormal"/>
    <w:uiPriority w:val="59"/>
    <w:rsid w:val="004C66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C0F11"/>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2C0F1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8C7B35"/>
    <w:pPr>
      <w:spacing w:line="240" w:lineRule="auto"/>
    </w:pPr>
    <w:rPr>
      <w:rFonts w:asciiTheme="majorHAnsi" w:eastAsiaTheme="majorEastAsia" w:hAnsiTheme="majorHAnsi" w:cstheme="majorBidi"/>
      <w:color w:val="000000" w:themeColor="text1"/>
      <w:lang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8C7B35"/>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514276"/>
    <w:pPr>
      <w:tabs>
        <w:tab w:val="center" w:pos="4680"/>
        <w:tab w:val="right" w:pos="9360"/>
      </w:tabs>
      <w:spacing w:line="240" w:lineRule="auto"/>
    </w:pPr>
  </w:style>
  <w:style w:type="character" w:customStyle="1" w:styleId="HeaderChar">
    <w:name w:val="Header Char"/>
    <w:basedOn w:val="DefaultParagraphFont"/>
    <w:link w:val="Header"/>
    <w:uiPriority w:val="99"/>
    <w:rsid w:val="00514276"/>
  </w:style>
  <w:style w:type="paragraph" w:styleId="Footer">
    <w:name w:val="footer"/>
    <w:basedOn w:val="Normal"/>
    <w:link w:val="FooterChar"/>
    <w:uiPriority w:val="99"/>
    <w:semiHidden/>
    <w:unhideWhenUsed/>
    <w:rsid w:val="0051427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14276"/>
  </w:style>
  <w:style w:type="paragraph" w:customStyle="1" w:styleId="DecimalAligned">
    <w:name w:val="Decimal Aligned"/>
    <w:basedOn w:val="Normal"/>
    <w:uiPriority w:val="40"/>
    <w:qFormat/>
    <w:rsid w:val="005719F2"/>
    <w:pPr>
      <w:tabs>
        <w:tab w:val="decimal" w:pos="360"/>
      </w:tabs>
      <w:spacing w:after="200"/>
    </w:pPr>
    <w:rPr>
      <w:lang w:eastAsia="en-US"/>
    </w:rPr>
  </w:style>
  <w:style w:type="paragraph" w:styleId="FootnoteText">
    <w:name w:val="footnote text"/>
    <w:basedOn w:val="Normal"/>
    <w:link w:val="FootnoteTextChar"/>
    <w:uiPriority w:val="99"/>
    <w:unhideWhenUsed/>
    <w:rsid w:val="005719F2"/>
    <w:pPr>
      <w:spacing w:line="240" w:lineRule="auto"/>
    </w:pPr>
    <w:rPr>
      <w:sz w:val="20"/>
      <w:szCs w:val="20"/>
      <w:lang w:eastAsia="en-US"/>
    </w:rPr>
  </w:style>
  <w:style w:type="character" w:customStyle="1" w:styleId="FootnoteTextChar">
    <w:name w:val="Footnote Text Char"/>
    <w:basedOn w:val="DefaultParagraphFont"/>
    <w:link w:val="FootnoteText"/>
    <w:uiPriority w:val="99"/>
    <w:rsid w:val="005719F2"/>
    <w:rPr>
      <w:sz w:val="20"/>
      <w:szCs w:val="20"/>
      <w:lang w:eastAsia="en-US"/>
    </w:rPr>
  </w:style>
  <w:style w:type="character" w:styleId="SubtleEmphasis">
    <w:name w:val="Subtle Emphasis"/>
    <w:basedOn w:val="DefaultParagraphFont"/>
    <w:uiPriority w:val="19"/>
    <w:qFormat/>
    <w:rsid w:val="005719F2"/>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5719F2"/>
    <w:pPr>
      <w:spacing w:line="240" w:lineRule="auto"/>
    </w:pPr>
    <w:rPr>
      <w:lang w:eastAsia="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Nissan</c:v>
                </c:pt>
              </c:strCache>
            </c:strRef>
          </c:tx>
          <c:cat>
            <c:strRef>
              <c:f>'Sheet1'!$A$2:$A$3</c:f>
              <c:strCache>
                <c:ptCount val="2"/>
                <c:pt idx="0">
                  <c:v>Brands Currently Driven</c:v>
                </c:pt>
                <c:pt idx="1">
                  <c:v>Brands Desired</c:v>
                </c:pt>
              </c:strCache>
            </c:strRef>
          </c:cat>
          <c:val>
            <c:numRef>
              <c:f>'Sheet1'!$B$2:$B$3</c:f>
              <c:numCache>
                <c:formatCode>General</c:formatCode>
                <c:ptCount val="2"/>
                <c:pt idx="0">
                  <c:v>11</c:v>
                </c:pt>
                <c:pt idx="1">
                  <c:v>9</c:v>
                </c:pt>
              </c:numCache>
            </c:numRef>
          </c:val>
        </c:ser>
        <c:ser>
          <c:idx val="1"/>
          <c:order val="1"/>
          <c:tx>
            <c:strRef>
              <c:f>'Sheet1'!$C$1</c:f>
              <c:strCache>
                <c:ptCount val="1"/>
                <c:pt idx="0">
                  <c:v>Chevy</c:v>
                </c:pt>
              </c:strCache>
            </c:strRef>
          </c:tx>
          <c:cat>
            <c:strRef>
              <c:f>'Sheet1'!$A$2:$A$3</c:f>
              <c:strCache>
                <c:ptCount val="2"/>
                <c:pt idx="0">
                  <c:v>Brands Currently Driven</c:v>
                </c:pt>
                <c:pt idx="1">
                  <c:v>Brands Desired</c:v>
                </c:pt>
              </c:strCache>
            </c:strRef>
          </c:cat>
          <c:val>
            <c:numRef>
              <c:f>'Sheet1'!$C$2:$C$3</c:f>
              <c:numCache>
                <c:formatCode>General</c:formatCode>
                <c:ptCount val="2"/>
                <c:pt idx="0">
                  <c:v>17</c:v>
                </c:pt>
                <c:pt idx="1">
                  <c:v>0</c:v>
                </c:pt>
              </c:numCache>
            </c:numRef>
          </c:val>
        </c:ser>
        <c:ser>
          <c:idx val="2"/>
          <c:order val="2"/>
          <c:tx>
            <c:strRef>
              <c:f>'Sheet1'!$D$1</c:f>
              <c:strCache>
                <c:ptCount val="1"/>
                <c:pt idx="0">
                  <c:v>Honda</c:v>
                </c:pt>
              </c:strCache>
            </c:strRef>
          </c:tx>
          <c:cat>
            <c:strRef>
              <c:f>'Sheet1'!$A$2:$A$3</c:f>
              <c:strCache>
                <c:ptCount val="2"/>
                <c:pt idx="0">
                  <c:v>Brands Currently Driven</c:v>
                </c:pt>
                <c:pt idx="1">
                  <c:v>Brands Desired</c:v>
                </c:pt>
              </c:strCache>
            </c:strRef>
          </c:cat>
          <c:val>
            <c:numRef>
              <c:f>'Sheet1'!$D$2:$D$3</c:f>
              <c:numCache>
                <c:formatCode>General</c:formatCode>
                <c:ptCount val="2"/>
                <c:pt idx="0">
                  <c:v>0</c:v>
                </c:pt>
                <c:pt idx="1">
                  <c:v>20</c:v>
                </c:pt>
              </c:numCache>
            </c:numRef>
          </c:val>
        </c:ser>
        <c:axId val="118892416"/>
        <c:axId val="123445248"/>
      </c:barChart>
      <c:catAx>
        <c:axId val="118892416"/>
        <c:scaling>
          <c:orientation val="minMax"/>
        </c:scaling>
        <c:axPos val="b"/>
        <c:tickLblPos val="nextTo"/>
        <c:crossAx val="123445248"/>
        <c:crosses val="autoZero"/>
        <c:auto val="1"/>
        <c:lblAlgn val="ctr"/>
        <c:lblOffset val="100"/>
      </c:catAx>
      <c:valAx>
        <c:axId val="123445248"/>
        <c:scaling>
          <c:orientation val="minMax"/>
        </c:scaling>
        <c:axPos val="l"/>
        <c:majorGridlines/>
        <c:numFmt formatCode="General" sourceLinked="1"/>
        <c:tickLblPos val="nextTo"/>
        <c:crossAx val="118892416"/>
        <c:crosses val="autoZero"/>
        <c:crossBetween val="between"/>
      </c:valAx>
    </c:plotArea>
    <c:legend>
      <c:legendPos val="r"/>
    </c:legend>
    <c:plotVisOnly val="1"/>
    <c:dispBlanksAs val="gap"/>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kmeiko</dc:creator>
  <cp:lastModifiedBy>Owner</cp:lastModifiedBy>
  <cp:revision>2</cp:revision>
  <cp:lastPrinted>2011-12-13T00:02:00Z</cp:lastPrinted>
  <dcterms:created xsi:type="dcterms:W3CDTF">2011-12-13T04:32:00Z</dcterms:created>
  <dcterms:modified xsi:type="dcterms:W3CDTF">2011-12-13T04:32:00Z</dcterms:modified>
</cp:coreProperties>
</file>