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1955596745"/>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576"/>
          </w:tblGrid>
          <w:tr w:rsidR="00E84279">
            <w:trPr>
              <w:trHeight w:val="2880"/>
              <w:jc w:val="center"/>
            </w:trPr>
            <w:tc>
              <w:tcPr>
                <w:tcW w:w="5000" w:type="pct"/>
              </w:tcPr>
              <w:p w:rsidR="00E84279" w:rsidRDefault="00E84279" w:rsidP="00E84279">
                <w:pPr>
                  <w:pStyle w:val="NoSpacing"/>
                  <w:rPr>
                    <w:rFonts w:asciiTheme="majorHAnsi" w:eastAsiaTheme="majorEastAsia" w:hAnsiTheme="majorHAnsi" w:cstheme="majorBidi"/>
                    <w:caps/>
                  </w:rPr>
                </w:pPr>
              </w:p>
            </w:tc>
          </w:tr>
          <w:tr w:rsidR="00E84279">
            <w:trPr>
              <w:trHeight w:val="1440"/>
              <w:jc w:val="center"/>
            </w:trPr>
            <w:sdt>
              <w:sdtPr>
                <w:rPr>
                  <w:rFonts w:asciiTheme="majorHAnsi" w:eastAsiaTheme="majorEastAsia" w:hAnsiTheme="majorHAnsi" w:cstheme="majorBidi"/>
                  <w:sz w:val="80"/>
                  <w:szCs w:val="80"/>
                </w:rPr>
                <w:alias w:val="Title"/>
                <w:id w:val="15524250"/>
                <w:placeholder>
                  <w:docPart w:val="F0B1DE8A3DC14508B767D0E80E7875F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84279" w:rsidRDefault="00E84279" w:rsidP="00E8427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IBM</w:t>
                    </w:r>
                  </w:p>
                </w:tc>
              </w:sdtContent>
            </w:sdt>
          </w:tr>
          <w:tr w:rsidR="00E8427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84279" w:rsidRDefault="00E84279" w:rsidP="00E8427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Internal Analysis</w:t>
                    </w:r>
                  </w:p>
                </w:tc>
              </w:sdtContent>
            </w:sdt>
          </w:tr>
          <w:tr w:rsidR="00E84279">
            <w:trPr>
              <w:trHeight w:val="360"/>
              <w:jc w:val="center"/>
            </w:trPr>
            <w:tc>
              <w:tcPr>
                <w:tcW w:w="5000" w:type="pct"/>
                <w:vAlign w:val="center"/>
              </w:tcPr>
              <w:p w:rsidR="00E84279" w:rsidRDefault="00E84279">
                <w:pPr>
                  <w:pStyle w:val="NoSpacing"/>
                  <w:jc w:val="center"/>
                </w:pPr>
              </w:p>
            </w:tc>
          </w:tr>
          <w:tr w:rsidR="00E84279">
            <w:trPr>
              <w:trHeight w:val="360"/>
              <w:jc w:val="center"/>
            </w:trPr>
            <w:tc>
              <w:tcPr>
                <w:tcW w:w="5000" w:type="pct"/>
                <w:vAlign w:val="center"/>
              </w:tcPr>
              <w:p w:rsidR="00E84279" w:rsidRDefault="00E84279" w:rsidP="00E84279">
                <w:pPr>
                  <w:pStyle w:val="NoSpacing"/>
                  <w:jc w:val="center"/>
                  <w:rPr>
                    <w:b/>
                    <w:bCs/>
                  </w:rPr>
                </w:pPr>
              </w:p>
            </w:tc>
          </w:tr>
          <w:tr w:rsidR="00E84279">
            <w:trPr>
              <w:trHeight w:val="360"/>
              <w:jc w:val="center"/>
            </w:trPr>
            <w:tc>
              <w:tcPr>
                <w:tcW w:w="5000" w:type="pct"/>
                <w:vAlign w:val="center"/>
              </w:tcPr>
              <w:p w:rsidR="00E84279" w:rsidRDefault="00E84279" w:rsidP="00E84279">
                <w:pPr>
                  <w:pStyle w:val="NoSpacing"/>
                  <w:jc w:val="center"/>
                  <w:rPr>
                    <w:b/>
                    <w:bCs/>
                  </w:rPr>
                </w:pPr>
              </w:p>
            </w:tc>
          </w:tr>
        </w:tbl>
        <w:p w:rsidR="00E84279" w:rsidRDefault="00E84279"/>
        <w:p w:rsidR="00E84279" w:rsidRDefault="00E84279"/>
        <w:p w:rsidR="00E84279" w:rsidRDefault="00E84279"/>
        <w:p w:rsidR="00E84279" w:rsidRDefault="00E84279"/>
        <w:p w:rsidR="00E84279" w:rsidRDefault="00E84279"/>
        <w:p w:rsidR="00E84279" w:rsidRDefault="00E84279"/>
        <w:p w:rsidR="00E84279" w:rsidRDefault="00E84279"/>
        <w:p w:rsidR="00E84279" w:rsidRDefault="00E84279" w:rsidP="00E84279">
          <w:pPr>
            <w:jc w:val="center"/>
          </w:pPr>
          <w:r>
            <w:t>Christina Nguyen</w:t>
          </w:r>
        </w:p>
        <w:p w:rsidR="00E84279" w:rsidRDefault="00E84279" w:rsidP="00E84279">
          <w:pPr>
            <w:jc w:val="center"/>
          </w:pPr>
          <w:r>
            <w:t>BA 4305. 5U2</w:t>
          </w:r>
        </w:p>
        <w:p w:rsidR="00E84279" w:rsidRDefault="00E84279" w:rsidP="00E84279">
          <w:pPr>
            <w:jc w:val="center"/>
          </w:pPr>
          <w:r>
            <w:t>June 25, 2011</w:t>
          </w:r>
        </w:p>
        <w:tbl>
          <w:tblPr>
            <w:tblpPr w:leftFromText="187" w:rightFromText="187" w:horzAnchor="margin" w:tblpXSpec="center" w:tblpYSpec="bottom"/>
            <w:tblW w:w="5000" w:type="pct"/>
            <w:tblLook w:val="04A0" w:firstRow="1" w:lastRow="0" w:firstColumn="1" w:lastColumn="0" w:noHBand="0" w:noVBand="1"/>
          </w:tblPr>
          <w:tblGrid>
            <w:gridCol w:w="9576"/>
          </w:tblGrid>
          <w:tr w:rsidR="00E84279">
            <w:tc>
              <w:tcPr>
                <w:tcW w:w="5000" w:type="pct"/>
              </w:tcPr>
              <w:p w:rsidR="00E84279" w:rsidRDefault="00E84279">
                <w:pPr>
                  <w:pStyle w:val="NoSpacing"/>
                </w:pPr>
              </w:p>
            </w:tc>
          </w:tr>
        </w:tbl>
        <w:p w:rsidR="00E84279" w:rsidRDefault="00E84279"/>
        <w:p w:rsidR="00E84279" w:rsidRDefault="00E84279">
          <w:r>
            <w:br w:type="page"/>
          </w:r>
        </w:p>
      </w:sdtContent>
    </w:sdt>
    <w:p w:rsidR="000D521E" w:rsidRDefault="000D521E" w:rsidP="000D521E">
      <w:pPr>
        <w:spacing w:line="480" w:lineRule="auto"/>
        <w:jc w:val="center"/>
      </w:pPr>
      <w:r>
        <w:lastRenderedPageBreak/>
        <w:t>IBM – Internal Analysis</w:t>
      </w:r>
    </w:p>
    <w:p w:rsidR="000D521E" w:rsidRDefault="000D521E" w:rsidP="000D521E">
      <w:pPr>
        <w:spacing w:line="480" w:lineRule="auto"/>
        <w:ind w:firstLine="720"/>
      </w:pPr>
      <w:r>
        <w:t xml:space="preserve">IBM (International Business Machines Corporation) is one of the top leaders in the computer related industry, founded in 1911 as an emergent of four different companies. Their headquarters is located in Armonk, New York under CEO Samuel Palmisano. IBM is known for their technology, innovation, and progress. For 2011, they were ranked number one </w:t>
      </w:r>
      <w:r w:rsidRPr="00057B53">
        <w:rPr>
          <w:i/>
        </w:rPr>
        <w:t>company for leaders</w:t>
      </w:r>
      <w:r>
        <w:t>, 2</w:t>
      </w:r>
      <w:r w:rsidRPr="00057B53">
        <w:rPr>
          <w:vertAlign w:val="superscript"/>
        </w:rPr>
        <w:t>nd</w:t>
      </w:r>
      <w:r>
        <w:t xml:space="preserve"> </w:t>
      </w:r>
      <w:r w:rsidRPr="00057B53">
        <w:rPr>
          <w:i/>
        </w:rPr>
        <w:t>best global brand</w:t>
      </w:r>
      <w:r>
        <w:t>, and 18</w:t>
      </w:r>
      <w:r w:rsidRPr="00057B53">
        <w:rPr>
          <w:vertAlign w:val="superscript"/>
        </w:rPr>
        <w:t>th</w:t>
      </w:r>
      <w:r>
        <w:t xml:space="preserve"> </w:t>
      </w:r>
      <w:r w:rsidRPr="00057B53">
        <w:rPr>
          <w:i/>
        </w:rPr>
        <w:t>most innovative company</w:t>
      </w:r>
      <w:r>
        <w:t xml:space="preserve"> by Fortune. Much of IBM’s success has come from their strong value chain, especially within their operations and logistics activities. IBM has professionals ranging from scientists, consultants, IT, and sales; giving them an edge on their competitors who only specialize in electronics and/or software (IBM Annual Report, 2010). IBM has achieved a large global network with thousands of suppliers through their marketing and sales activities that have served to be both a competitive advantage, as well as, a disadvantage because of their heavy dependence on these suppliers. Another major competitive disadvantage for IBM is the highly competitive environment the company participates in (IBM Annual Report, 2010). Dell, Inc. is one of the company’s competitors that will be</w:t>
      </w:r>
      <w:r w:rsidR="00D748F8">
        <w:t xml:space="preserve"> analyzed in retrospect to IBM’s financial ratios. </w:t>
      </w:r>
      <w:r>
        <w:t xml:space="preserve"> </w:t>
      </w:r>
    </w:p>
    <w:p w:rsidR="00F95E6A" w:rsidRDefault="00F95E6A" w:rsidP="00F95E6A">
      <w:pPr>
        <w:spacing w:line="480" w:lineRule="auto"/>
      </w:pPr>
      <w:r>
        <w:t>Marketing and Sales Services</w:t>
      </w:r>
    </w:p>
    <w:p w:rsidR="000D521E" w:rsidRDefault="000D521E" w:rsidP="000D521E">
      <w:pPr>
        <w:spacing w:line="480" w:lineRule="auto"/>
        <w:ind w:firstLine="720"/>
      </w:pPr>
      <w:r>
        <w:t>IBM has substantial global recognition</w:t>
      </w:r>
      <w:r w:rsidR="00DE0C4A">
        <w:t xml:space="preserve"> and reliability</w:t>
      </w:r>
      <w:r>
        <w:t xml:space="preserve"> compared to competitors Hewlett-Packard, Microsoft, Dell, and Apple. They have been established for over 100 years with a presence in over 170 countries.</w:t>
      </w:r>
      <w:r w:rsidRPr="000D521E">
        <w:t xml:space="preserve"> </w:t>
      </w:r>
      <w:r>
        <w:t xml:space="preserve">IBM has over 420,000 employees in over 120 countries, with ten research labs worldwide. They are one of the largest companies in the world and have more than 75,000 U.S. patents (IBM Annual Report, 2010). IBM has a strong distribution channel, allowing them to </w:t>
      </w:r>
      <w:r w:rsidR="00F95E6A">
        <w:t>increase</w:t>
      </w:r>
      <w:r>
        <w:t xml:space="preserve"> and further their marketing sales and services. In addition, IBM focuses on local </w:t>
      </w:r>
      <w:r>
        <w:lastRenderedPageBreak/>
        <w:t xml:space="preserve">clients by operating with the integration of teams with expertise in multiple areas – client relationship professionals, dedicated consultants, industry knowledge and experience, product specialists and delivery fulfillment (IBM Annual Report, 2010). According to Laurie Friedman, an IBM blogger, the company has nearly 30,000 suppliers in 90 countries. Currently, IBM has suppliers in the United States, Canada, Japan, and Italy to name a few, including companies Shenzeen Sollan Tech (China), Intel, and Wal-mart. With so many suppliers, maintaining well-organized logistics </w:t>
      </w:r>
      <w:r w:rsidR="002122DE">
        <w:t xml:space="preserve">and operations </w:t>
      </w:r>
      <w:r>
        <w:t xml:space="preserve">is a necessity for IBM. </w:t>
      </w:r>
    </w:p>
    <w:p w:rsidR="00F95E6A" w:rsidRDefault="00F95E6A" w:rsidP="00F95E6A">
      <w:pPr>
        <w:spacing w:line="480" w:lineRule="auto"/>
      </w:pPr>
      <w:r>
        <w:t>Operations and Logistics</w:t>
      </w:r>
    </w:p>
    <w:p w:rsidR="000D521E" w:rsidRDefault="000D521E" w:rsidP="000D521E">
      <w:pPr>
        <w:spacing w:line="480" w:lineRule="auto"/>
        <w:ind w:firstLine="720"/>
      </w:pPr>
      <w:r>
        <w:t xml:space="preserve">One of the company’s competitive weaknesses is their dependence on their suppliers. IBM’s business could really suffer if a supplier fails to deliver components, supplies, and raw materials in the allocated time and the correct quantities. </w:t>
      </w:r>
      <w:r w:rsidR="00494161">
        <w:t xml:space="preserve">Furthermore, laws and regulations in suppliers’ countries could affect IBM negatively since over 60% of the company’s revenues come from outside of the U.S. </w:t>
      </w:r>
      <w:r w:rsidR="002122DE">
        <w:t>(IBM Annual Report, 2010)</w:t>
      </w:r>
      <w:r w:rsidR="00D748F8">
        <w:t>.</w:t>
      </w:r>
      <w:r w:rsidR="002122DE">
        <w:t xml:space="preserve"> On the other hand</w:t>
      </w:r>
      <w:r>
        <w:t xml:space="preserve">, having thousands of suppliers has permitted IBM to have a large global intelligent utility network and partnership agreements. The company has 20 million smart meters (four times any other utilities industry) and the largest smart grid technology </w:t>
      </w:r>
      <w:r w:rsidR="00494161">
        <w:t xml:space="preserve">in the world </w:t>
      </w:r>
      <w:r>
        <w:t>(Gal</w:t>
      </w:r>
      <w:r w:rsidR="002122DE">
        <w:t xml:space="preserve">e Business Database: IBM, 2011). </w:t>
      </w:r>
      <w:r w:rsidR="00653622">
        <w:t>IBM has economies of scale</w:t>
      </w:r>
      <w:r w:rsidR="00E22CEF">
        <w:t>, a significant competitive advantage.</w:t>
      </w:r>
      <w:r w:rsidR="00653622">
        <w:t xml:space="preserve"> Jeff St. John, Gigaom.com</w:t>
      </w:r>
      <w:r>
        <w:t xml:space="preserve"> </w:t>
      </w:r>
      <w:r w:rsidR="00653622">
        <w:t>blogger, says “While startups may have innovative technologies to add to the picture, ‘We</w:t>
      </w:r>
      <w:r w:rsidR="00AF2E11">
        <w:t xml:space="preserve"> [IBM]</w:t>
      </w:r>
      <w:r w:rsidR="00653622">
        <w:t xml:space="preserve"> work well at scale,’ Bartlett (vice president of IBM) said.”</w:t>
      </w:r>
      <w:r w:rsidR="00E22CEF">
        <w:t xml:space="preserve"> Central Maine Power, an electric utility company, partnered with Trilliant, a smart grid communications company, mid-2010 to provide 620,000 customers with smart energy using IBM’s smart meter software platform (St. John, “IBM: All Your Smart Meters Are Belong to Us,” 2011). </w:t>
      </w:r>
      <w:r w:rsidR="00DE0C4A">
        <w:t xml:space="preserve">Finally, IBM operates in five highly competitive business segments: Global Technology Services, Global Business Services, </w:t>
      </w:r>
      <w:r w:rsidR="00DE0C4A">
        <w:lastRenderedPageBreak/>
        <w:t>Software, Systems and Technology, and Global Financing (IBM Annual Report, 2010). In order to maintain and increase their market share and profit margin, IBM must continue with “cutting-edge” innovation in their logistics and operations, as well as, their marketing and services activities (IBM Annual Report, 2010). Samuel Palmisano</w:t>
      </w:r>
      <w:r w:rsidR="006B7D58">
        <w:t>, at the September 21, 2010 GridWise Global Forum in Washington, D.C.,</w:t>
      </w:r>
      <w:r w:rsidR="00DE0C4A">
        <w:t xml:space="preserve"> says, “Our world is becoming interconnected</w:t>
      </w:r>
      <w:r w:rsidR="006B7D58">
        <w:t xml:space="preserve">. […] In just three years, IP traffic is expected to total more than half a zettabyte (It’s a 1 followed by 21 zeros).” Competition is fierce for IBM, being in the computer/technology industry. Any failures in their value-chain could be detrimental to the company because their competitors are not far behind, if at all. </w:t>
      </w:r>
    </w:p>
    <w:p w:rsidR="00F95E6A" w:rsidRDefault="00F95E6A">
      <w:r>
        <w:t>Financial Ratio Analysis</w:t>
      </w:r>
    </w:p>
    <w:p w:rsidR="00E35FA7" w:rsidRDefault="00E35FA7">
      <w:r>
        <w:t>Competitor Dell, Inc.</w:t>
      </w:r>
    </w:p>
    <w:p w:rsidR="00E35FA7" w:rsidRDefault="00E35FA7" w:rsidP="00FD7ABD">
      <w:pPr>
        <w:spacing w:line="480" w:lineRule="auto"/>
      </w:pPr>
      <w:r>
        <w:t>Dell, Inc. was founded in 1984 by Michael Dell, who built and sold IBM PC-compatible computers from his University of Texas at Austin dorm room (Dell.com, “The History of Dell Inc.,” 2011). Their headquarters are</w:t>
      </w:r>
      <w:r w:rsidR="00FE5B19">
        <w:t xml:space="preserve"> now</w:t>
      </w:r>
      <w:r>
        <w:t xml:space="preserve"> locate</w:t>
      </w:r>
      <w:r w:rsidR="00FE5B19">
        <w:t xml:space="preserve">d in Round Rock, Texas and is </w:t>
      </w:r>
      <w:r>
        <w:t>one o</w:t>
      </w:r>
      <w:r w:rsidR="00FE5B19">
        <w:t>f the leading technology companies</w:t>
      </w:r>
      <w:r>
        <w:t xml:space="preserve"> that offers</w:t>
      </w:r>
      <w:r w:rsidR="00FE5B19">
        <w:t xml:space="preserve"> mobility products, desktop personal computers, software and peripherals, servers and networking, and storage (Dell Annual Report, 2010). Though Dell does offer business related services, such as consulting and applications and business process services, the company operates prim</w:t>
      </w:r>
      <w:r w:rsidR="00D748F8">
        <w:t xml:space="preserve">arily in the computer industry, as one of IBM’s direct competitors. </w:t>
      </w:r>
    </w:p>
    <w:p w:rsidR="00F95E6A" w:rsidRDefault="00F95E6A">
      <w:r>
        <w:t>Financial Ratios Retrieved from Mergent Online Database</w:t>
      </w:r>
    </w:p>
    <w:p w:rsidR="009B70DE" w:rsidRDefault="009B70DE">
      <w:r>
        <w:t>(All results are stated in U.S. Dollars)</w:t>
      </w:r>
    </w:p>
    <w:p w:rsidR="009B70DE" w:rsidRDefault="00D748F8" w:rsidP="008514DE">
      <w:pPr>
        <w:pStyle w:val="ListParagraph"/>
        <w:numPr>
          <w:ilvl w:val="0"/>
          <w:numId w:val="3"/>
        </w:numPr>
      </w:pPr>
      <w:r>
        <w:t xml:space="preserve">Short-term solvency, or liquidity, ratios </w:t>
      </w:r>
    </w:p>
    <w:p w:rsidR="008514DE" w:rsidRDefault="008514DE" w:rsidP="00B659F0">
      <w:pPr>
        <w:spacing w:line="480" w:lineRule="auto"/>
      </w:pPr>
      <w:r>
        <w:t xml:space="preserve">For the year ended 2010, the current ratio for Dell, Inc. and IBM is 1.28 and 1.19, respectively. In that aspect, Dell, Inc. is making .09 more in current assets than IBM for every </w:t>
      </w:r>
      <w:r w:rsidR="00990E41">
        <w:t xml:space="preserve">$1 in current </w:t>
      </w:r>
      <w:r w:rsidR="00990E41">
        <w:lastRenderedPageBreak/>
        <w:t xml:space="preserve">liabilities, but since both are large companies, it does not make a </w:t>
      </w:r>
      <w:r w:rsidR="00D91D07">
        <w:t>significant</w:t>
      </w:r>
      <w:r w:rsidR="00990E41">
        <w:t xml:space="preserve"> difference in liquidity. The impor</w:t>
      </w:r>
      <w:r w:rsidR="00D91D07">
        <w:t>tant data in this case is for the years ended 2010, 2009, and 2008, Dell, Inc.’s current ratio has increased, whereas IBM has fluctuated</w:t>
      </w:r>
      <w:r w:rsidR="00DB3700">
        <w:t xml:space="preserve">. </w:t>
      </w:r>
    </w:p>
    <w:tbl>
      <w:tblPr>
        <w:tblW w:w="0" w:type="auto"/>
        <w:tblLayout w:type="fixed"/>
        <w:tblCellMar>
          <w:left w:w="0" w:type="dxa"/>
          <w:right w:w="0" w:type="dxa"/>
        </w:tblCellMar>
        <w:tblLook w:val="0000" w:firstRow="0" w:lastRow="0" w:firstColumn="0" w:lastColumn="0" w:noHBand="0" w:noVBand="0"/>
      </w:tblPr>
      <w:tblGrid>
        <w:gridCol w:w="3969"/>
        <w:gridCol w:w="2552"/>
      </w:tblGrid>
      <w:tr w:rsidR="008514DE" w:rsidTr="00D8125F">
        <w:tc>
          <w:tcPr>
            <w:tcW w:w="3969" w:type="dxa"/>
            <w:tcBorders>
              <w:top w:val="nil"/>
              <w:left w:val="nil"/>
              <w:bottom w:val="nil"/>
              <w:right w:val="nil"/>
            </w:tcBorders>
          </w:tcPr>
          <w:p w:rsidR="008514DE" w:rsidRDefault="008514DE" w:rsidP="008514DE">
            <w:pPr>
              <w:widowControl w:val="0"/>
              <w:autoSpaceDE w:val="0"/>
              <w:autoSpaceDN w:val="0"/>
              <w:adjustRightInd w:val="0"/>
              <w:spacing w:after="0" w:line="240" w:lineRule="auto"/>
            </w:pPr>
            <w:r w:rsidRPr="008514DE">
              <w:rPr>
                <w:rFonts w:ascii="Arial" w:hAnsi="Arial" w:cs="Arial"/>
                <w:b/>
                <w:bCs/>
                <w:sz w:val="20"/>
                <w:szCs w:val="20"/>
              </w:rPr>
              <w:t>Company Name</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Current Ratio - 2010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1.28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1.19</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2552"/>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Current Ratio - 2009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1.36</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1.36</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2552"/>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Current Ratio - 2008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1.07</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1.15</w:t>
            </w:r>
          </w:p>
        </w:tc>
      </w:tr>
    </w:tbl>
    <w:p w:rsidR="008514DE" w:rsidRDefault="008514DE" w:rsidP="008514DE">
      <w:pPr>
        <w:widowControl w:val="0"/>
        <w:autoSpaceDE w:val="0"/>
        <w:autoSpaceDN w:val="0"/>
        <w:adjustRightInd w:val="0"/>
        <w:spacing w:after="0" w:line="240" w:lineRule="auto"/>
      </w:pPr>
    </w:p>
    <w:p w:rsidR="00D91D07" w:rsidRDefault="00D91D07" w:rsidP="008514DE">
      <w:pPr>
        <w:widowControl w:val="0"/>
        <w:autoSpaceDE w:val="0"/>
        <w:autoSpaceDN w:val="0"/>
        <w:adjustRightInd w:val="0"/>
        <w:spacing w:after="0" w:line="240" w:lineRule="auto"/>
      </w:pPr>
    </w:p>
    <w:p w:rsidR="00D91D07" w:rsidRDefault="00D91D07" w:rsidP="008514DE">
      <w:pPr>
        <w:widowControl w:val="0"/>
        <w:autoSpaceDE w:val="0"/>
        <w:autoSpaceDN w:val="0"/>
        <w:adjustRightInd w:val="0"/>
        <w:spacing w:after="0" w:line="240" w:lineRule="auto"/>
      </w:pPr>
    </w:p>
    <w:p w:rsidR="009B70DE" w:rsidRDefault="009B70DE" w:rsidP="008514DE">
      <w:pPr>
        <w:widowControl w:val="0"/>
        <w:autoSpaceDE w:val="0"/>
        <w:autoSpaceDN w:val="0"/>
        <w:adjustRightInd w:val="0"/>
        <w:spacing w:after="0" w:line="240" w:lineRule="auto"/>
      </w:pPr>
    </w:p>
    <w:p w:rsidR="00D91D07" w:rsidRDefault="00D91D07" w:rsidP="00B659F0">
      <w:pPr>
        <w:widowControl w:val="0"/>
        <w:autoSpaceDE w:val="0"/>
        <w:autoSpaceDN w:val="0"/>
        <w:adjustRightInd w:val="0"/>
        <w:spacing w:after="0" w:line="480" w:lineRule="auto"/>
      </w:pPr>
      <w:r>
        <w:t>Dell, Inc. has higher net current assets compared to IBM for the years ended 2010 and 2009. In 2010, Dell’s net current assets more than doubled that of IBM’</w:t>
      </w:r>
      <w:r w:rsidR="001717A7">
        <w:t xml:space="preserve">s (2.36 times) and has shown a 306% increase from the year ended 2008 to year ended 2009. </w:t>
      </w:r>
    </w:p>
    <w:p w:rsidR="00D91D07" w:rsidRDefault="00D91D07"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686"/>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Net Current Assets % TA - 2010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15.70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6.66</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686"/>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Net Current Assets % TA - 2009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19.97</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11.86</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686"/>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Net Current Assets % TA - 2008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4.91</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686"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6</w:t>
            </w:r>
          </w:p>
        </w:tc>
      </w:tr>
    </w:tbl>
    <w:p w:rsidR="008514DE" w:rsidRDefault="008514DE" w:rsidP="008514DE">
      <w:pPr>
        <w:widowControl w:val="0"/>
        <w:autoSpaceDE w:val="0"/>
        <w:autoSpaceDN w:val="0"/>
        <w:adjustRightInd w:val="0"/>
        <w:spacing w:after="0" w:line="240" w:lineRule="auto"/>
      </w:pPr>
    </w:p>
    <w:p w:rsidR="001717A7" w:rsidRDefault="001717A7" w:rsidP="008514DE">
      <w:pPr>
        <w:widowControl w:val="0"/>
        <w:autoSpaceDE w:val="0"/>
        <w:autoSpaceDN w:val="0"/>
        <w:adjustRightInd w:val="0"/>
        <w:spacing w:after="0" w:line="240" w:lineRule="auto"/>
      </w:pPr>
    </w:p>
    <w:p w:rsidR="009B70DE" w:rsidRDefault="009B70DE" w:rsidP="008514DE">
      <w:pPr>
        <w:widowControl w:val="0"/>
        <w:autoSpaceDE w:val="0"/>
        <w:autoSpaceDN w:val="0"/>
        <w:adjustRightInd w:val="0"/>
        <w:spacing w:after="0" w:line="240" w:lineRule="auto"/>
      </w:pPr>
    </w:p>
    <w:p w:rsidR="009B70DE" w:rsidRDefault="009B70DE" w:rsidP="008514DE">
      <w:pPr>
        <w:widowControl w:val="0"/>
        <w:autoSpaceDE w:val="0"/>
        <w:autoSpaceDN w:val="0"/>
        <w:adjustRightInd w:val="0"/>
        <w:spacing w:after="0" w:line="240" w:lineRule="auto"/>
      </w:pPr>
    </w:p>
    <w:p w:rsidR="001717A7" w:rsidRDefault="001717A7" w:rsidP="00B659F0">
      <w:pPr>
        <w:widowControl w:val="0"/>
        <w:autoSpaceDE w:val="0"/>
        <w:autoSpaceDN w:val="0"/>
        <w:adjustRightInd w:val="0"/>
        <w:spacing w:after="0" w:line="480" w:lineRule="auto"/>
      </w:pPr>
      <w:r>
        <w:t>The quick ratio for Dell and IBM are not significan</w:t>
      </w:r>
      <w:r w:rsidR="002570AD">
        <w:t xml:space="preserve">tly different, though IBM’s ratio has been slightly higher in current assets after inventory for 2009 and 2008. </w:t>
      </w:r>
      <w:r>
        <w:t xml:space="preserve">It simply shows illiquid inventory each company has in respects to assets and liabilities. </w:t>
      </w:r>
    </w:p>
    <w:p w:rsidR="001717A7" w:rsidRDefault="001717A7"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2552"/>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Quick Ratio - 2010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1.03</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0.98</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2552"/>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Quick Ratio - 2009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1.05</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1.13</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2552"/>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Quick Ratio - 2008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0.85</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2552"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0.95</w:t>
            </w:r>
          </w:p>
        </w:tc>
      </w:tr>
    </w:tbl>
    <w:p w:rsidR="00181B4B" w:rsidRDefault="00181B4B"/>
    <w:p w:rsidR="00C479CB" w:rsidRDefault="00C479CB"/>
    <w:p w:rsidR="00181B4B" w:rsidRDefault="00181B4B" w:rsidP="00181B4B">
      <w:pPr>
        <w:pStyle w:val="ListParagraph"/>
        <w:numPr>
          <w:ilvl w:val="0"/>
          <w:numId w:val="3"/>
        </w:numPr>
      </w:pPr>
      <w:r>
        <w:t>Long-term solvency, or financial leverage, ratios</w:t>
      </w:r>
    </w:p>
    <w:p w:rsidR="002570AD" w:rsidRDefault="002570AD" w:rsidP="00B659F0">
      <w:pPr>
        <w:spacing w:line="480" w:lineRule="auto"/>
      </w:pPr>
      <w:r>
        <w:t xml:space="preserve">The interest coverage for IBM is nearly three times higher than Dell’s, allowing them a greater ability to meet interest expenses. Although, this cannot truly be determined because Dell, Inc. shows no data for years prior to 2010, and other factors are not included. </w:t>
      </w:r>
    </w:p>
    <w:tbl>
      <w:tblPr>
        <w:tblW w:w="0" w:type="auto"/>
        <w:tblLayout w:type="fixed"/>
        <w:tblCellMar>
          <w:left w:w="0" w:type="dxa"/>
          <w:right w:w="0" w:type="dxa"/>
        </w:tblCellMar>
        <w:tblLook w:val="0000" w:firstRow="0" w:lastRow="0" w:firstColumn="0" w:lastColumn="0" w:noHBand="0" w:noVBand="0"/>
      </w:tblPr>
      <w:tblGrid>
        <w:gridCol w:w="3969"/>
        <w:gridCol w:w="3119"/>
      </w:tblGrid>
      <w:tr w:rsidR="008514DE" w:rsidTr="00D8125F">
        <w:tc>
          <w:tcPr>
            <w:tcW w:w="3969" w:type="dxa"/>
            <w:tcBorders>
              <w:top w:val="nil"/>
              <w:left w:val="nil"/>
              <w:bottom w:val="nil"/>
              <w:right w:val="nil"/>
            </w:tcBorders>
          </w:tcPr>
          <w:p w:rsidR="008514DE" w:rsidRDefault="008514DE" w:rsidP="008514DE">
            <w:pPr>
              <w:widowControl w:val="0"/>
              <w:autoSpaceDE w:val="0"/>
              <w:autoSpaceDN w:val="0"/>
              <w:adjustRightInd w:val="0"/>
              <w:spacing w:after="0" w:line="240" w:lineRule="auto"/>
            </w:pPr>
            <w:r w:rsidRPr="008514DE">
              <w:rPr>
                <w:rFonts w:ascii="Arial" w:hAnsi="Arial" w:cs="Arial"/>
                <w:b/>
                <w:bCs/>
                <w:sz w:val="20"/>
                <w:szCs w:val="20"/>
              </w:rPr>
              <w:t>Company Name</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Interest Coverage - 2010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23.87</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65.76</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119"/>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Interest Coverage - 2009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55.23</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119"/>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Interest Coverage - 2008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48.30</w:t>
            </w:r>
          </w:p>
        </w:tc>
      </w:tr>
    </w:tbl>
    <w:p w:rsidR="008514DE" w:rsidRDefault="008514DE" w:rsidP="008514DE">
      <w:pPr>
        <w:widowControl w:val="0"/>
        <w:autoSpaceDE w:val="0"/>
        <w:autoSpaceDN w:val="0"/>
        <w:adjustRightInd w:val="0"/>
        <w:spacing w:after="0" w:line="240" w:lineRule="auto"/>
      </w:pPr>
    </w:p>
    <w:p w:rsidR="009B70DE" w:rsidRDefault="009B70DE" w:rsidP="008514DE">
      <w:pPr>
        <w:widowControl w:val="0"/>
        <w:autoSpaceDE w:val="0"/>
        <w:autoSpaceDN w:val="0"/>
        <w:adjustRightInd w:val="0"/>
        <w:spacing w:after="0" w:line="240" w:lineRule="auto"/>
      </w:pPr>
    </w:p>
    <w:p w:rsidR="00C479CB" w:rsidRDefault="00C479CB" w:rsidP="008514DE">
      <w:pPr>
        <w:widowControl w:val="0"/>
        <w:autoSpaceDE w:val="0"/>
        <w:autoSpaceDN w:val="0"/>
        <w:adjustRightInd w:val="0"/>
        <w:spacing w:after="0" w:line="240" w:lineRule="auto"/>
      </w:pPr>
    </w:p>
    <w:p w:rsidR="002570AD" w:rsidRDefault="0010164D" w:rsidP="00B659F0">
      <w:pPr>
        <w:widowControl w:val="0"/>
        <w:autoSpaceDE w:val="0"/>
        <w:autoSpaceDN w:val="0"/>
        <w:adjustRightInd w:val="0"/>
        <w:spacing w:after="0" w:line="480" w:lineRule="auto"/>
      </w:pPr>
      <w:r>
        <w:t>According to Dell, Inc.’s financials, the company</w:t>
      </w:r>
      <w:r w:rsidR="00FA39DF">
        <w:t xml:space="preserve"> has </w:t>
      </w:r>
      <w:r>
        <w:t xml:space="preserve">higher total stockholders’ equity to long-term debt than IBM. IBM’s higher long-term debt to equity ratio may indicate future liquidity problems. </w:t>
      </w:r>
    </w:p>
    <w:p w:rsidR="002570AD" w:rsidRDefault="002570AD"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119"/>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LT Debt to Equity - 2010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0.61</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0.95</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119"/>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LT Debt to Equity - 2009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lastRenderedPageBreak/>
              <w:t>Dell Inc</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0.44</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0.97</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119"/>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LT Debt to Equity - 2008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11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1.69</w:t>
            </w:r>
          </w:p>
        </w:tc>
      </w:tr>
    </w:tbl>
    <w:p w:rsidR="008514DE" w:rsidRDefault="008514DE" w:rsidP="008514DE">
      <w:pPr>
        <w:widowControl w:val="0"/>
        <w:autoSpaceDE w:val="0"/>
        <w:autoSpaceDN w:val="0"/>
        <w:adjustRightInd w:val="0"/>
        <w:spacing w:after="0" w:line="240" w:lineRule="auto"/>
      </w:pPr>
    </w:p>
    <w:p w:rsidR="009B70DE" w:rsidRDefault="009B70DE" w:rsidP="008514DE">
      <w:pPr>
        <w:widowControl w:val="0"/>
        <w:autoSpaceDE w:val="0"/>
        <w:autoSpaceDN w:val="0"/>
        <w:adjustRightInd w:val="0"/>
        <w:spacing w:after="0" w:line="240" w:lineRule="auto"/>
      </w:pPr>
    </w:p>
    <w:p w:rsidR="0010164D" w:rsidRDefault="00FA39DF" w:rsidP="00B659F0">
      <w:pPr>
        <w:widowControl w:val="0"/>
        <w:autoSpaceDE w:val="0"/>
        <w:autoSpaceDN w:val="0"/>
        <w:adjustRightInd w:val="0"/>
        <w:spacing w:after="0" w:line="480" w:lineRule="auto"/>
      </w:pPr>
      <w:r>
        <w:t xml:space="preserve">IBM’s debt/equity ratios for the years ended 2010, 2009, and 2008 are much higher than Dell’s. Taken into consideration the technological expansions IBM has aggressively </w:t>
      </w:r>
      <w:r w:rsidR="006F29A1">
        <w:t>financed</w:t>
      </w:r>
      <w:r>
        <w:t xml:space="preserve"> could potentially generate greater earnings than Dell. Also, IBM operates</w:t>
      </w:r>
      <w:r w:rsidR="006F29A1">
        <w:t xml:space="preserve"> in multiple industries; while</w:t>
      </w:r>
      <w:r>
        <w:t xml:space="preserve"> Dell is primarily in th</w:t>
      </w:r>
      <w:r w:rsidR="006F29A1">
        <w:t>e computer industry makes a difference in these ratios. Personal computer companies have a debt to equity ratio of under 0.5 (Investopedia.com, 2011).</w:t>
      </w:r>
    </w:p>
    <w:p w:rsidR="006F29A1" w:rsidRDefault="00B659F0" w:rsidP="00B659F0">
      <w:pPr>
        <w:widowControl w:val="0"/>
        <w:tabs>
          <w:tab w:val="left" w:pos="6930"/>
        </w:tabs>
        <w:autoSpaceDE w:val="0"/>
        <w:autoSpaceDN w:val="0"/>
        <w:adjustRightInd w:val="0"/>
        <w:spacing w:after="0" w:line="240" w:lineRule="auto"/>
      </w:pPr>
      <w:r>
        <w:tab/>
      </w:r>
    </w:p>
    <w:tbl>
      <w:tblPr>
        <w:tblW w:w="0" w:type="auto"/>
        <w:tblLayout w:type="fixed"/>
        <w:tblCellMar>
          <w:left w:w="0" w:type="dxa"/>
          <w:right w:w="0" w:type="dxa"/>
        </w:tblCellMar>
        <w:tblLook w:val="0000" w:firstRow="0" w:lastRow="0" w:firstColumn="0" w:lastColumn="0" w:noHBand="0" w:noVBand="0"/>
      </w:tblPr>
      <w:tblGrid>
        <w:gridCol w:w="3969"/>
        <w:gridCol w:w="3345"/>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Total Debt to Equity - 2010</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0.72</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1.24</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345"/>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Total Debt to Equity - 2009</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0.47</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1.15</w:t>
            </w:r>
          </w:p>
        </w:tc>
      </w:tr>
    </w:tbl>
    <w:p w:rsidR="008514DE" w:rsidRDefault="008514DE" w:rsidP="008514DE">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969"/>
        <w:gridCol w:w="3345"/>
      </w:tblGrid>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Company Name</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b/>
                <w:bCs/>
                <w:sz w:val="20"/>
                <w:szCs w:val="20"/>
              </w:rPr>
              <w:t>Total Debt to Equity - 2008</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Dell Inc</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0.15</w:t>
            </w:r>
          </w:p>
        </w:tc>
      </w:tr>
      <w:tr w:rsidR="008514DE" w:rsidTr="00D8125F">
        <w:tc>
          <w:tcPr>
            <w:tcW w:w="3969"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International Business Machines Corp.</w:t>
            </w:r>
          </w:p>
        </w:tc>
        <w:tc>
          <w:tcPr>
            <w:tcW w:w="3345" w:type="dxa"/>
            <w:tcBorders>
              <w:top w:val="nil"/>
              <w:left w:val="nil"/>
              <w:bottom w:val="nil"/>
              <w:right w:val="nil"/>
            </w:tcBorders>
          </w:tcPr>
          <w:p w:rsidR="008514DE" w:rsidRDefault="008514DE" w:rsidP="00D8125F">
            <w:pPr>
              <w:widowControl w:val="0"/>
              <w:autoSpaceDE w:val="0"/>
              <w:autoSpaceDN w:val="0"/>
              <w:adjustRightInd w:val="0"/>
              <w:spacing w:after="0" w:line="240" w:lineRule="auto"/>
              <w:ind w:left="28"/>
            </w:pPr>
            <w:r>
              <w:rPr>
                <w:rFonts w:ascii="Arial" w:hAnsi="Arial" w:cs="Arial"/>
                <w:sz w:val="20"/>
                <w:szCs w:val="20"/>
              </w:rPr>
              <w:t>2.52</w:t>
            </w:r>
          </w:p>
        </w:tc>
      </w:tr>
    </w:tbl>
    <w:p w:rsidR="009B70DE" w:rsidRDefault="009B70DE" w:rsidP="00181B4B"/>
    <w:p w:rsidR="00181B4B" w:rsidRDefault="00181B4B" w:rsidP="00181B4B">
      <w:pPr>
        <w:pStyle w:val="ListParagraph"/>
        <w:numPr>
          <w:ilvl w:val="0"/>
          <w:numId w:val="3"/>
        </w:numPr>
      </w:pPr>
      <w:r>
        <w:t>Asset utilization, or turnover, ratios</w:t>
      </w:r>
    </w:p>
    <w:p w:rsidR="00181B4B" w:rsidRDefault="006F29A1" w:rsidP="00181B4B">
      <w:r>
        <w:t>IBM</w:t>
      </w:r>
    </w:p>
    <w:tbl>
      <w:tblPr>
        <w:tblW w:w="9224" w:type="dxa"/>
        <w:tblLayout w:type="fixed"/>
        <w:tblCellMar>
          <w:left w:w="0" w:type="dxa"/>
          <w:right w:w="0" w:type="dxa"/>
        </w:tblCellMar>
        <w:tblLook w:val="0000" w:firstRow="0" w:lastRow="0" w:firstColumn="0" w:lastColumn="0" w:noHBand="0" w:noVBand="0"/>
      </w:tblPr>
      <w:tblGrid>
        <w:gridCol w:w="2594"/>
        <w:gridCol w:w="1442"/>
        <w:gridCol w:w="1442"/>
        <w:gridCol w:w="1442"/>
        <w:gridCol w:w="366"/>
        <w:gridCol w:w="1155"/>
        <w:gridCol w:w="783"/>
      </w:tblGrid>
      <w:tr w:rsidR="006F29A1" w:rsidTr="006F29A1">
        <w:trPr>
          <w:trHeight w:val="957"/>
        </w:trPr>
        <w:tc>
          <w:tcPr>
            <w:tcW w:w="259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Asset Management</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12/31/2010</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12/31/2009</w:t>
            </w:r>
          </w:p>
        </w:tc>
        <w:tc>
          <w:tcPr>
            <w:tcW w:w="366"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12/31/2008</w:t>
            </w:r>
          </w:p>
        </w:tc>
        <w:tc>
          <w:tcPr>
            <w:tcW w:w="783"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rPr>
          <w:trHeight w:val="298"/>
        </w:trPr>
        <w:tc>
          <w:tcPr>
            <w:tcW w:w="259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Total Asset Turnover</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0.9</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0.88</w:t>
            </w:r>
          </w:p>
        </w:tc>
        <w:tc>
          <w:tcPr>
            <w:tcW w:w="366"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0.9</w:t>
            </w:r>
          </w:p>
        </w:tc>
        <w:tc>
          <w:tcPr>
            <w:tcW w:w="783"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rPr>
          <w:trHeight w:val="470"/>
        </w:trPr>
        <w:tc>
          <w:tcPr>
            <w:tcW w:w="2594"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Receivables Turnover</w:t>
            </w: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3.63</w:t>
            </w: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3.52</w:t>
            </w:r>
          </w:p>
        </w:tc>
        <w:tc>
          <w:tcPr>
            <w:tcW w:w="366"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3.67</w:t>
            </w:r>
          </w:p>
        </w:tc>
        <w:tc>
          <w:tcPr>
            <w:tcW w:w="783"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r>
      <w:tr w:rsidR="006F29A1" w:rsidTr="006F29A1">
        <w:trPr>
          <w:trHeight w:val="487"/>
        </w:trPr>
        <w:tc>
          <w:tcPr>
            <w:tcW w:w="259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Inventory Turnover</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21.79</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20.01</w:t>
            </w:r>
          </w:p>
        </w:tc>
        <w:tc>
          <w:tcPr>
            <w:tcW w:w="366"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21.61</w:t>
            </w:r>
          </w:p>
        </w:tc>
        <w:tc>
          <w:tcPr>
            <w:tcW w:w="783"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rPr>
          <w:trHeight w:val="487"/>
        </w:trPr>
        <w:tc>
          <w:tcPr>
            <w:tcW w:w="2594"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Accounts Payable Turnover</w:t>
            </w: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13.11</w:t>
            </w: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13.25</w:t>
            </w:r>
          </w:p>
        </w:tc>
        <w:tc>
          <w:tcPr>
            <w:tcW w:w="366"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13.72</w:t>
            </w:r>
          </w:p>
        </w:tc>
        <w:tc>
          <w:tcPr>
            <w:tcW w:w="783"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r>
      <w:tr w:rsidR="006F29A1" w:rsidTr="006F29A1">
        <w:trPr>
          <w:trHeight w:val="470"/>
        </w:trPr>
        <w:tc>
          <w:tcPr>
            <w:tcW w:w="259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Accrued Expenses Turnover</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20.95</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20.98</w:t>
            </w:r>
          </w:p>
        </w:tc>
        <w:tc>
          <w:tcPr>
            <w:tcW w:w="366"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22.3</w:t>
            </w:r>
          </w:p>
        </w:tc>
        <w:tc>
          <w:tcPr>
            <w:tcW w:w="783"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rPr>
          <w:trHeight w:val="487"/>
        </w:trPr>
        <w:tc>
          <w:tcPr>
            <w:tcW w:w="2594"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Property Plant &amp; Equip Turnover</w:t>
            </w: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7.07</w:t>
            </w: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6.73</w:t>
            </w:r>
          </w:p>
        </w:tc>
        <w:tc>
          <w:tcPr>
            <w:tcW w:w="366"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7.03</w:t>
            </w:r>
          </w:p>
        </w:tc>
        <w:tc>
          <w:tcPr>
            <w:tcW w:w="783"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r>
      <w:tr w:rsidR="006F29A1" w:rsidTr="006F29A1">
        <w:trPr>
          <w:trHeight w:val="487"/>
        </w:trPr>
        <w:tc>
          <w:tcPr>
            <w:tcW w:w="259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lastRenderedPageBreak/>
              <w:t>Cash &amp; Equivalents Turnover</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8.74</w:t>
            </w: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4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7.68</w:t>
            </w:r>
          </w:p>
        </w:tc>
        <w:tc>
          <w:tcPr>
            <w:tcW w:w="366"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155"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7.45</w:t>
            </w:r>
          </w:p>
        </w:tc>
        <w:tc>
          <w:tcPr>
            <w:tcW w:w="783"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bl>
    <w:p w:rsidR="006F29A1" w:rsidRDefault="006F29A1" w:rsidP="00181B4B"/>
    <w:p w:rsidR="006F29A1" w:rsidRDefault="006F29A1" w:rsidP="00181B4B">
      <w:r>
        <w:t>Dell</w:t>
      </w: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1454"/>
        <w:gridCol w:w="20"/>
      </w:tblGrid>
      <w:tr w:rsidR="006F29A1" w:rsidTr="006F29A1">
        <w:tc>
          <w:tcPr>
            <w:tcW w:w="255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Asset Management</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b/>
                <w:bCs/>
                <w:sz w:val="20"/>
                <w:szCs w:val="20"/>
              </w:rPr>
              <w:t>02/01/2008</w:t>
            </w:r>
          </w:p>
        </w:tc>
        <w:tc>
          <w:tcPr>
            <w:tcW w:w="2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Total Asset Turnover</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1.76</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2.27</w:t>
            </w:r>
          </w:p>
        </w:tc>
        <w:tc>
          <w:tcPr>
            <w:tcW w:w="36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2.3</w:t>
            </w:r>
          </w:p>
        </w:tc>
        <w:tc>
          <w:tcPr>
            <w:tcW w:w="2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Receivables Turnover</w:t>
            </w: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7.08</w:t>
            </w: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8.67</w:t>
            </w:r>
          </w:p>
        </w:tc>
        <w:tc>
          <w:tcPr>
            <w:tcW w:w="360"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8.86</w:t>
            </w:r>
          </w:p>
        </w:tc>
        <w:tc>
          <w:tcPr>
            <w:tcW w:w="20"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Inventory Turnover</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45.51</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48.99</w:t>
            </w:r>
          </w:p>
        </w:tc>
        <w:tc>
          <w:tcPr>
            <w:tcW w:w="36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53.76</w:t>
            </w:r>
          </w:p>
        </w:tc>
        <w:tc>
          <w:tcPr>
            <w:tcW w:w="2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Accounts Payable Turnover</w:t>
            </w: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5.39</w:t>
            </w: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6.19</w:t>
            </w:r>
          </w:p>
        </w:tc>
        <w:tc>
          <w:tcPr>
            <w:tcW w:w="360"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5.59</w:t>
            </w:r>
          </w:p>
        </w:tc>
        <w:tc>
          <w:tcPr>
            <w:tcW w:w="20"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Accrued Expenses Turnover</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32.65</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35.37</w:t>
            </w:r>
          </w:p>
        </w:tc>
        <w:tc>
          <w:tcPr>
            <w:tcW w:w="36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26.14</w:t>
            </w:r>
          </w:p>
        </w:tc>
        <w:tc>
          <w:tcPr>
            <w:tcW w:w="2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Property Plant &amp; Equip Turnover</w:t>
            </w: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23.8</w:t>
            </w: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24.78</w:t>
            </w:r>
          </w:p>
        </w:tc>
        <w:tc>
          <w:tcPr>
            <w:tcW w:w="360"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24.15</w:t>
            </w:r>
          </w:p>
        </w:tc>
        <w:tc>
          <w:tcPr>
            <w:tcW w:w="20" w:type="dxa"/>
            <w:tcBorders>
              <w:top w:val="nil"/>
              <w:left w:val="nil"/>
              <w:bottom w:val="nil"/>
              <w:right w:val="nil"/>
            </w:tcBorders>
            <w:shd w:val="clear" w:color="auto" w:fill="E7E7E7"/>
          </w:tcPr>
          <w:p w:rsidR="006F29A1" w:rsidRDefault="006F29A1" w:rsidP="00D8125F">
            <w:pPr>
              <w:widowControl w:val="0"/>
              <w:autoSpaceDE w:val="0"/>
              <w:autoSpaceDN w:val="0"/>
              <w:adjustRightInd w:val="0"/>
              <w:spacing w:after="0" w:line="240" w:lineRule="auto"/>
              <w:ind w:left="28"/>
            </w:pPr>
          </w:p>
        </w:tc>
      </w:tr>
      <w:tr w:rsidR="006F29A1" w:rsidTr="006F29A1">
        <w:tc>
          <w:tcPr>
            <w:tcW w:w="2552"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Cash &amp; Equivalents Turnover</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5.59</w:t>
            </w: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7.6</w:t>
            </w:r>
          </w:p>
        </w:tc>
        <w:tc>
          <w:tcPr>
            <w:tcW w:w="36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c>
          <w:tcPr>
            <w:tcW w:w="1454"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r>
              <w:rPr>
                <w:rFonts w:ascii="Arial" w:hAnsi="Arial" w:cs="Arial"/>
                <w:sz w:val="20"/>
                <w:szCs w:val="20"/>
              </w:rPr>
              <w:t>7.08</w:t>
            </w:r>
          </w:p>
        </w:tc>
        <w:tc>
          <w:tcPr>
            <w:tcW w:w="20" w:type="dxa"/>
            <w:tcBorders>
              <w:top w:val="nil"/>
              <w:left w:val="nil"/>
              <w:bottom w:val="nil"/>
              <w:right w:val="nil"/>
            </w:tcBorders>
          </w:tcPr>
          <w:p w:rsidR="006F29A1" w:rsidRDefault="006F29A1" w:rsidP="00D8125F">
            <w:pPr>
              <w:widowControl w:val="0"/>
              <w:autoSpaceDE w:val="0"/>
              <w:autoSpaceDN w:val="0"/>
              <w:adjustRightInd w:val="0"/>
              <w:spacing w:after="0" w:line="240" w:lineRule="auto"/>
              <w:ind w:left="28"/>
            </w:pPr>
          </w:p>
        </w:tc>
      </w:tr>
    </w:tbl>
    <w:p w:rsidR="006F29A1" w:rsidRDefault="006F29A1" w:rsidP="00181B4B"/>
    <w:p w:rsidR="006F29A1" w:rsidRDefault="006F29A1" w:rsidP="00C479CB">
      <w:pPr>
        <w:spacing w:line="480" w:lineRule="auto"/>
      </w:pPr>
      <w:r>
        <w:t xml:space="preserve">From </w:t>
      </w:r>
      <w:r w:rsidR="00DB3700">
        <w:t>the asset utilization ratios</w:t>
      </w:r>
      <w:r>
        <w:t>, Dell, Inc. is managing their inven</w:t>
      </w:r>
      <w:r w:rsidR="00DB3700">
        <w:t xml:space="preserve">tory more efficiently than IBM, and the company is also collecting on their sales about twice as fast as IBM in the past three years. In this case, IBM has a competitive disadvantage compared to Dell. </w:t>
      </w:r>
    </w:p>
    <w:p w:rsidR="00181B4B" w:rsidRDefault="00511C6C" w:rsidP="00181B4B">
      <w:pPr>
        <w:pStyle w:val="ListParagraph"/>
        <w:numPr>
          <w:ilvl w:val="0"/>
          <w:numId w:val="3"/>
        </w:numPr>
      </w:pPr>
      <w:r>
        <w:t>Profitability r</w:t>
      </w:r>
      <w:r w:rsidR="00181B4B">
        <w:t>atios</w:t>
      </w:r>
    </w:p>
    <w:p w:rsidR="00DB3700" w:rsidRDefault="00DB3700" w:rsidP="00181B4B">
      <w:r>
        <w:t>IBM</w:t>
      </w:r>
    </w:p>
    <w:tbl>
      <w:tblPr>
        <w:tblW w:w="0" w:type="auto"/>
        <w:tblLayout w:type="fixed"/>
        <w:tblCellMar>
          <w:left w:w="0" w:type="dxa"/>
          <w:right w:w="0" w:type="dxa"/>
        </w:tblCellMar>
        <w:tblLook w:val="0000" w:firstRow="0" w:lastRow="0" w:firstColumn="0" w:lastColumn="0" w:noHBand="0" w:noVBand="0"/>
      </w:tblPr>
      <w:tblGrid>
        <w:gridCol w:w="2493"/>
        <w:gridCol w:w="1385"/>
        <w:gridCol w:w="1385"/>
        <w:gridCol w:w="1385"/>
        <w:gridCol w:w="352"/>
        <w:gridCol w:w="1460"/>
        <w:gridCol w:w="180"/>
      </w:tblGrid>
      <w:tr w:rsidR="00DB3700" w:rsidTr="00DB3700">
        <w:trPr>
          <w:trHeight w:val="472"/>
        </w:trPr>
        <w:tc>
          <w:tcPr>
            <w:tcW w:w="2493"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Profitability Ratios</w:t>
            </w: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12/31/2010</w:t>
            </w: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12/31/2009</w:t>
            </w:r>
          </w:p>
        </w:tc>
        <w:tc>
          <w:tcPr>
            <w:tcW w:w="352"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46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12/31/2008</w:t>
            </w:r>
          </w:p>
        </w:tc>
        <w:tc>
          <w:tcPr>
            <w:tcW w:w="18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r>
      <w:tr w:rsidR="00DB3700" w:rsidTr="00DB3700">
        <w:trPr>
          <w:trHeight w:val="299"/>
        </w:trPr>
        <w:tc>
          <w:tcPr>
            <w:tcW w:w="2493"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ROA % (Net)</w:t>
            </w:r>
          </w:p>
        </w:tc>
        <w:tc>
          <w:tcPr>
            <w:tcW w:w="1385"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13.33</w:t>
            </w:r>
          </w:p>
        </w:tc>
        <w:tc>
          <w:tcPr>
            <w:tcW w:w="1385"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385"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12.29</w:t>
            </w:r>
          </w:p>
        </w:tc>
        <w:tc>
          <w:tcPr>
            <w:tcW w:w="352"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46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10.7</w:t>
            </w:r>
          </w:p>
        </w:tc>
        <w:tc>
          <w:tcPr>
            <w:tcW w:w="18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r>
      <w:tr w:rsidR="00DB3700" w:rsidTr="00DB3700">
        <w:trPr>
          <w:trHeight w:val="283"/>
        </w:trPr>
        <w:tc>
          <w:tcPr>
            <w:tcW w:w="2493"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ROE % (Net)</w:t>
            </w: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64.94</w:t>
            </w: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74.37</w:t>
            </w:r>
          </w:p>
        </w:tc>
        <w:tc>
          <w:tcPr>
            <w:tcW w:w="352"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46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58.66</w:t>
            </w:r>
          </w:p>
        </w:tc>
        <w:tc>
          <w:tcPr>
            <w:tcW w:w="18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r>
      <w:tr w:rsidR="00DB3700" w:rsidTr="00DB3700">
        <w:trPr>
          <w:trHeight w:val="299"/>
        </w:trPr>
        <w:tc>
          <w:tcPr>
            <w:tcW w:w="2493"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ROI % (Operating)</w:t>
            </w:r>
          </w:p>
        </w:tc>
        <w:tc>
          <w:tcPr>
            <w:tcW w:w="1385"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36.15</w:t>
            </w:r>
          </w:p>
        </w:tc>
        <w:tc>
          <w:tcPr>
            <w:tcW w:w="1385"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385"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35.39</w:t>
            </w:r>
          </w:p>
        </w:tc>
        <w:tc>
          <w:tcPr>
            <w:tcW w:w="352"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46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28.6</w:t>
            </w:r>
          </w:p>
        </w:tc>
        <w:tc>
          <w:tcPr>
            <w:tcW w:w="18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r>
      <w:tr w:rsidR="00DB3700" w:rsidTr="00DB3700">
        <w:trPr>
          <w:trHeight w:val="283"/>
        </w:trPr>
        <w:tc>
          <w:tcPr>
            <w:tcW w:w="2493"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EBITDA Margin %</w:t>
            </w: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24.86</w:t>
            </w: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385"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24.48</w:t>
            </w:r>
          </w:p>
        </w:tc>
        <w:tc>
          <w:tcPr>
            <w:tcW w:w="352"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46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21.71</w:t>
            </w:r>
          </w:p>
        </w:tc>
        <w:tc>
          <w:tcPr>
            <w:tcW w:w="18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r>
    </w:tbl>
    <w:p w:rsidR="00DB3700" w:rsidRDefault="00DB3700" w:rsidP="00181B4B"/>
    <w:p w:rsidR="00DB3700" w:rsidRDefault="00DB3700" w:rsidP="00181B4B">
      <w:r>
        <w:t>Dell</w:t>
      </w: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1294"/>
        <w:gridCol w:w="270"/>
      </w:tblGrid>
      <w:tr w:rsidR="00DB3700" w:rsidTr="00DB3700">
        <w:tc>
          <w:tcPr>
            <w:tcW w:w="2552"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Profitability Ratios</w:t>
            </w: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294"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b/>
                <w:bCs/>
                <w:sz w:val="20"/>
                <w:szCs w:val="20"/>
              </w:rPr>
              <w:t>02/01/2008</w:t>
            </w:r>
          </w:p>
        </w:tc>
        <w:tc>
          <w:tcPr>
            <w:tcW w:w="27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r>
      <w:tr w:rsidR="00DB3700" w:rsidTr="00DB3700">
        <w:tc>
          <w:tcPr>
            <w:tcW w:w="2552"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ROA % (Net)</w:t>
            </w:r>
          </w:p>
        </w:tc>
        <w:tc>
          <w:tcPr>
            <w:tcW w:w="1418"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4.78</w:t>
            </w:r>
          </w:p>
        </w:tc>
        <w:tc>
          <w:tcPr>
            <w:tcW w:w="1418"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9.19</w:t>
            </w:r>
          </w:p>
        </w:tc>
        <w:tc>
          <w:tcPr>
            <w:tcW w:w="36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294"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11.11</w:t>
            </w:r>
          </w:p>
        </w:tc>
        <w:tc>
          <w:tcPr>
            <w:tcW w:w="27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r>
      <w:tr w:rsidR="00DB3700" w:rsidTr="00DB3700">
        <w:tc>
          <w:tcPr>
            <w:tcW w:w="2552"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ROE % (Net)</w:t>
            </w: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28.99</w:t>
            </w: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61.35</w:t>
            </w:r>
          </w:p>
        </w:tc>
        <w:tc>
          <w:tcPr>
            <w:tcW w:w="36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294"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71.48</w:t>
            </w:r>
          </w:p>
        </w:tc>
        <w:tc>
          <w:tcPr>
            <w:tcW w:w="27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r>
      <w:tr w:rsidR="00DB3700" w:rsidTr="00DB3700">
        <w:tc>
          <w:tcPr>
            <w:tcW w:w="2552"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ROI % (Operating)</w:t>
            </w:r>
          </w:p>
        </w:tc>
        <w:tc>
          <w:tcPr>
            <w:tcW w:w="1418"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27.22</w:t>
            </w:r>
          </w:p>
        </w:tc>
        <w:tc>
          <w:tcPr>
            <w:tcW w:w="1418"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59.8</w:t>
            </w:r>
          </w:p>
        </w:tc>
        <w:tc>
          <w:tcPr>
            <w:tcW w:w="36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c>
          <w:tcPr>
            <w:tcW w:w="1294"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71.77</w:t>
            </w:r>
          </w:p>
        </w:tc>
        <w:tc>
          <w:tcPr>
            <w:tcW w:w="270" w:type="dxa"/>
            <w:tcBorders>
              <w:top w:val="nil"/>
              <w:left w:val="nil"/>
              <w:bottom w:val="nil"/>
              <w:right w:val="nil"/>
            </w:tcBorders>
            <w:shd w:val="clear" w:color="auto" w:fill="E7E7E7"/>
          </w:tcPr>
          <w:p w:rsidR="00DB3700" w:rsidRDefault="00DB3700" w:rsidP="00D8125F">
            <w:pPr>
              <w:widowControl w:val="0"/>
              <w:autoSpaceDE w:val="0"/>
              <w:autoSpaceDN w:val="0"/>
              <w:adjustRightInd w:val="0"/>
              <w:spacing w:after="0" w:line="240" w:lineRule="auto"/>
              <w:ind w:left="28"/>
            </w:pPr>
          </w:p>
        </w:tc>
      </w:tr>
      <w:tr w:rsidR="00DB3700" w:rsidTr="00DB3700">
        <w:tc>
          <w:tcPr>
            <w:tcW w:w="2552"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EBITDA Margin %</w:t>
            </w: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5.61</w:t>
            </w: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6.65</w:t>
            </w:r>
          </w:p>
        </w:tc>
        <w:tc>
          <w:tcPr>
            <w:tcW w:w="36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c>
          <w:tcPr>
            <w:tcW w:w="1294"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r>
              <w:rPr>
                <w:rFonts w:ascii="Arial" w:hAnsi="Arial" w:cs="Arial"/>
                <w:sz w:val="20"/>
                <w:szCs w:val="20"/>
              </w:rPr>
              <w:t>6.59</w:t>
            </w:r>
          </w:p>
        </w:tc>
        <w:tc>
          <w:tcPr>
            <w:tcW w:w="270" w:type="dxa"/>
            <w:tcBorders>
              <w:top w:val="nil"/>
              <w:left w:val="nil"/>
              <w:bottom w:val="nil"/>
              <w:right w:val="nil"/>
            </w:tcBorders>
          </w:tcPr>
          <w:p w:rsidR="00DB3700" w:rsidRDefault="00DB3700" w:rsidP="00D8125F">
            <w:pPr>
              <w:widowControl w:val="0"/>
              <w:autoSpaceDE w:val="0"/>
              <w:autoSpaceDN w:val="0"/>
              <w:adjustRightInd w:val="0"/>
              <w:spacing w:after="0" w:line="240" w:lineRule="auto"/>
              <w:ind w:left="28"/>
            </w:pPr>
          </w:p>
        </w:tc>
      </w:tr>
    </w:tbl>
    <w:p w:rsidR="00DB3700" w:rsidRDefault="00DB3700" w:rsidP="00181B4B"/>
    <w:p w:rsidR="00C4746F" w:rsidRDefault="00C4746F" w:rsidP="00C479CB">
      <w:pPr>
        <w:spacing w:line="480" w:lineRule="auto"/>
      </w:pPr>
      <w:r>
        <w:t>IBM has a definite competitive advantage in profitability over Dell, Inc.</w:t>
      </w:r>
      <w:r w:rsidR="00F069B2">
        <w:t xml:space="preserve"> </w:t>
      </w:r>
      <w:r>
        <w:t xml:space="preserve">IBM’s return on assets for the year ended 2010 was more than 2.79 times higher than Dell’s. </w:t>
      </w:r>
      <w:r w:rsidR="00910A39">
        <w:t xml:space="preserve">IBM’s return on equity for </w:t>
      </w:r>
      <w:r w:rsidR="00910A39">
        <w:lastRenderedPageBreak/>
        <w:t xml:space="preserve">years ended 2010 and 2009 have been greater than Dell’s, with the previous year doubling that of Dell’s. </w:t>
      </w:r>
      <w:r w:rsidR="00F069B2">
        <w:t>Overall, IBM’s profit margin and advantage over Dell has increased wit</w:t>
      </w:r>
      <w:r w:rsidR="00C54329">
        <w:t>h each passing year, 2008, 2009;</w:t>
      </w:r>
      <w:r w:rsidR="00F069B2">
        <w:t xml:space="preserve"> and for year ended 2010, IBM’s profit margin was more than </w:t>
      </w:r>
      <w:r w:rsidR="00C54329">
        <w:t>four</w:t>
      </w:r>
      <w:r w:rsidR="00F069B2">
        <w:t xml:space="preserve"> times greater than Dell’s. </w:t>
      </w:r>
    </w:p>
    <w:p w:rsidR="00181B4B" w:rsidRDefault="00181B4B" w:rsidP="00181B4B">
      <w:pPr>
        <w:pStyle w:val="ListParagraph"/>
        <w:numPr>
          <w:ilvl w:val="0"/>
          <w:numId w:val="3"/>
        </w:numPr>
      </w:pPr>
      <w:r>
        <w:t>Market Value Ratios</w:t>
      </w:r>
    </w:p>
    <w:p w:rsidR="009B70DE" w:rsidRDefault="009B70DE" w:rsidP="009B70DE">
      <w:r>
        <w:t>IBM</w:t>
      </w: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1634"/>
        <w:gridCol w:w="20"/>
      </w:tblGrid>
      <w:tr w:rsidR="00F069B2" w:rsidTr="009B70DE">
        <w:tc>
          <w:tcPr>
            <w:tcW w:w="2552" w:type="dxa"/>
            <w:tcBorders>
              <w:top w:val="nil"/>
              <w:left w:val="nil"/>
              <w:bottom w:val="nil"/>
              <w:right w:val="nil"/>
            </w:tcBorders>
          </w:tcPr>
          <w:p w:rsidR="00F069B2" w:rsidRDefault="00F069B2" w:rsidP="00F069B2">
            <w:pPr>
              <w:widowControl w:val="0"/>
              <w:autoSpaceDE w:val="0"/>
              <w:autoSpaceDN w:val="0"/>
              <w:adjustRightInd w:val="0"/>
              <w:spacing w:after="0" w:line="240" w:lineRule="auto"/>
            </w:pPr>
            <w:r w:rsidRPr="00F069B2">
              <w:rPr>
                <w:rFonts w:ascii="Arial" w:hAnsi="Arial" w:cs="Arial"/>
                <w:b/>
                <w:bCs/>
                <w:sz w:val="20"/>
                <w:szCs w:val="20"/>
              </w:rPr>
              <w:t>Per Share</w:t>
            </w:r>
          </w:p>
        </w:tc>
        <w:tc>
          <w:tcPr>
            <w:tcW w:w="1418"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b/>
                <w:bCs/>
                <w:sz w:val="20"/>
                <w:szCs w:val="20"/>
              </w:rPr>
              <w:t>12/31/2010</w:t>
            </w:r>
          </w:p>
        </w:tc>
        <w:tc>
          <w:tcPr>
            <w:tcW w:w="1418"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b/>
                <w:bCs/>
                <w:sz w:val="20"/>
                <w:szCs w:val="20"/>
              </w:rPr>
              <w:t>12/31/2009</w:t>
            </w:r>
          </w:p>
        </w:tc>
        <w:tc>
          <w:tcPr>
            <w:tcW w:w="360"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p>
        </w:tc>
        <w:tc>
          <w:tcPr>
            <w:tcW w:w="1634"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b/>
                <w:bCs/>
                <w:sz w:val="20"/>
                <w:szCs w:val="20"/>
              </w:rPr>
              <w:t>12/31/2008</w:t>
            </w:r>
          </w:p>
        </w:tc>
        <w:tc>
          <w:tcPr>
            <w:tcW w:w="20"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p>
        </w:tc>
      </w:tr>
      <w:tr w:rsidR="00F069B2" w:rsidTr="009B70DE">
        <w:tc>
          <w:tcPr>
            <w:tcW w:w="2552"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Cash Flow per Share</w:t>
            </w:r>
          </w:p>
        </w:tc>
        <w:tc>
          <w:tcPr>
            <w:tcW w:w="1418"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15.41</w:t>
            </w:r>
          </w:p>
        </w:tc>
        <w:tc>
          <w:tcPr>
            <w:tcW w:w="1418"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15.65</w:t>
            </w:r>
          </w:p>
        </w:tc>
        <w:tc>
          <w:tcPr>
            <w:tcW w:w="360"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p>
        </w:tc>
        <w:tc>
          <w:tcPr>
            <w:tcW w:w="1634"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13.8</w:t>
            </w:r>
          </w:p>
        </w:tc>
        <w:tc>
          <w:tcPr>
            <w:tcW w:w="20" w:type="dxa"/>
            <w:tcBorders>
              <w:top w:val="nil"/>
              <w:left w:val="nil"/>
              <w:bottom w:val="nil"/>
              <w:right w:val="nil"/>
            </w:tcBorders>
          </w:tcPr>
          <w:p w:rsidR="00F069B2" w:rsidRDefault="00F069B2" w:rsidP="00D8125F">
            <w:pPr>
              <w:widowControl w:val="0"/>
              <w:autoSpaceDE w:val="0"/>
              <w:autoSpaceDN w:val="0"/>
              <w:adjustRightInd w:val="0"/>
              <w:spacing w:after="0" w:line="240" w:lineRule="auto"/>
              <w:ind w:left="28"/>
            </w:pPr>
          </w:p>
        </w:tc>
      </w:tr>
      <w:tr w:rsidR="00F069B2" w:rsidTr="009B70DE">
        <w:tc>
          <w:tcPr>
            <w:tcW w:w="2552"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Book Value per Share</w:t>
            </w:r>
          </w:p>
        </w:tc>
        <w:tc>
          <w:tcPr>
            <w:tcW w:w="1418"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18.77</w:t>
            </w:r>
          </w:p>
        </w:tc>
        <w:tc>
          <w:tcPr>
            <w:tcW w:w="1418"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17.34</w:t>
            </w:r>
          </w:p>
        </w:tc>
        <w:tc>
          <w:tcPr>
            <w:tcW w:w="360"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p>
        </w:tc>
        <w:tc>
          <w:tcPr>
            <w:tcW w:w="1634"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r>
              <w:rPr>
                <w:rFonts w:ascii="Arial" w:hAnsi="Arial" w:cs="Arial"/>
                <w:sz w:val="20"/>
                <w:szCs w:val="20"/>
              </w:rPr>
              <w:t>10.06</w:t>
            </w:r>
          </w:p>
        </w:tc>
        <w:tc>
          <w:tcPr>
            <w:tcW w:w="20" w:type="dxa"/>
            <w:tcBorders>
              <w:top w:val="nil"/>
              <w:left w:val="nil"/>
              <w:bottom w:val="nil"/>
              <w:right w:val="nil"/>
            </w:tcBorders>
            <w:shd w:val="clear" w:color="auto" w:fill="E7E7E7"/>
          </w:tcPr>
          <w:p w:rsidR="00F069B2" w:rsidRDefault="00F069B2" w:rsidP="00D8125F">
            <w:pPr>
              <w:widowControl w:val="0"/>
              <w:autoSpaceDE w:val="0"/>
              <w:autoSpaceDN w:val="0"/>
              <w:adjustRightInd w:val="0"/>
              <w:spacing w:after="0" w:line="240" w:lineRule="auto"/>
              <w:ind w:left="28"/>
            </w:pPr>
          </w:p>
        </w:tc>
      </w:tr>
    </w:tbl>
    <w:p w:rsidR="00F069B2" w:rsidRDefault="00F069B2" w:rsidP="00F069B2">
      <w:pPr>
        <w:widowControl w:val="0"/>
        <w:autoSpaceDE w:val="0"/>
        <w:autoSpaceDN w:val="0"/>
        <w:adjustRightInd w:val="0"/>
        <w:spacing w:after="0" w:line="240" w:lineRule="auto"/>
      </w:pPr>
    </w:p>
    <w:p w:rsidR="00F069B2" w:rsidRDefault="00F069B2" w:rsidP="00181B4B"/>
    <w:p w:rsidR="009B70DE" w:rsidRDefault="009B70DE" w:rsidP="00181B4B">
      <w:r>
        <w:t>Dell</w:t>
      </w: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1634"/>
        <w:gridCol w:w="20"/>
      </w:tblGrid>
      <w:tr w:rsidR="009B70DE" w:rsidTr="009B70DE">
        <w:tc>
          <w:tcPr>
            <w:tcW w:w="2552"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b/>
                <w:bCs/>
                <w:sz w:val="20"/>
                <w:szCs w:val="20"/>
              </w:rPr>
              <w:t>Per Share</w:t>
            </w:r>
          </w:p>
        </w:tc>
        <w:tc>
          <w:tcPr>
            <w:tcW w:w="1418"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p>
        </w:tc>
        <w:tc>
          <w:tcPr>
            <w:tcW w:w="1634"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b/>
                <w:bCs/>
                <w:sz w:val="20"/>
                <w:szCs w:val="20"/>
              </w:rPr>
              <w:t>02/01/2008</w:t>
            </w:r>
          </w:p>
        </w:tc>
        <w:tc>
          <w:tcPr>
            <w:tcW w:w="20"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p>
        </w:tc>
      </w:tr>
      <w:tr w:rsidR="009B70DE" w:rsidTr="009B70DE">
        <w:tc>
          <w:tcPr>
            <w:tcW w:w="2552"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Cash Flow per Share</w:t>
            </w:r>
          </w:p>
        </w:tc>
        <w:tc>
          <w:tcPr>
            <w:tcW w:w="1418"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2</w:t>
            </w:r>
          </w:p>
        </w:tc>
        <w:tc>
          <w:tcPr>
            <w:tcW w:w="1418"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p>
        </w:tc>
        <w:tc>
          <w:tcPr>
            <w:tcW w:w="1418"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0.96</w:t>
            </w:r>
          </w:p>
        </w:tc>
        <w:tc>
          <w:tcPr>
            <w:tcW w:w="360"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p>
        </w:tc>
        <w:tc>
          <w:tcPr>
            <w:tcW w:w="1634"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1.78</w:t>
            </w:r>
          </w:p>
        </w:tc>
        <w:tc>
          <w:tcPr>
            <w:tcW w:w="20" w:type="dxa"/>
            <w:tcBorders>
              <w:top w:val="nil"/>
              <w:left w:val="nil"/>
              <w:bottom w:val="nil"/>
              <w:right w:val="nil"/>
            </w:tcBorders>
          </w:tcPr>
          <w:p w:rsidR="009B70DE" w:rsidRDefault="009B70DE" w:rsidP="00D8125F">
            <w:pPr>
              <w:widowControl w:val="0"/>
              <w:autoSpaceDE w:val="0"/>
              <w:autoSpaceDN w:val="0"/>
              <w:adjustRightInd w:val="0"/>
              <w:spacing w:after="0" w:line="240" w:lineRule="auto"/>
              <w:ind w:left="28"/>
            </w:pPr>
          </w:p>
        </w:tc>
      </w:tr>
      <w:tr w:rsidR="009B70DE" w:rsidTr="009B70DE">
        <w:tc>
          <w:tcPr>
            <w:tcW w:w="2552"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Book Value per Share</w:t>
            </w:r>
          </w:p>
        </w:tc>
        <w:tc>
          <w:tcPr>
            <w:tcW w:w="1418"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2.88</w:t>
            </w:r>
          </w:p>
        </w:tc>
        <w:tc>
          <w:tcPr>
            <w:tcW w:w="1418"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2.2</w:t>
            </w:r>
          </w:p>
        </w:tc>
        <w:tc>
          <w:tcPr>
            <w:tcW w:w="360"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p>
        </w:tc>
        <w:tc>
          <w:tcPr>
            <w:tcW w:w="1634"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r>
              <w:rPr>
                <w:rFonts w:ascii="Arial" w:hAnsi="Arial" w:cs="Arial"/>
                <w:sz w:val="20"/>
                <w:szCs w:val="20"/>
              </w:rPr>
              <w:t>1.86</w:t>
            </w:r>
          </w:p>
        </w:tc>
        <w:tc>
          <w:tcPr>
            <w:tcW w:w="20" w:type="dxa"/>
            <w:tcBorders>
              <w:top w:val="nil"/>
              <w:left w:val="nil"/>
              <w:bottom w:val="nil"/>
              <w:right w:val="nil"/>
            </w:tcBorders>
            <w:shd w:val="clear" w:color="auto" w:fill="E7E7E7"/>
          </w:tcPr>
          <w:p w:rsidR="009B70DE" w:rsidRDefault="009B70DE" w:rsidP="00D8125F">
            <w:pPr>
              <w:widowControl w:val="0"/>
              <w:autoSpaceDE w:val="0"/>
              <w:autoSpaceDN w:val="0"/>
              <w:adjustRightInd w:val="0"/>
              <w:spacing w:after="0" w:line="240" w:lineRule="auto"/>
              <w:ind w:left="28"/>
            </w:pPr>
          </w:p>
        </w:tc>
      </w:tr>
    </w:tbl>
    <w:p w:rsidR="009B70DE" w:rsidRDefault="009B70DE" w:rsidP="00181B4B"/>
    <w:p w:rsidR="009B70DE" w:rsidRDefault="009B70DE" w:rsidP="00B659F0">
      <w:pPr>
        <w:spacing w:line="480" w:lineRule="auto"/>
      </w:pPr>
      <w:r>
        <w:t xml:space="preserve">It is obvious IBM has the competitive advantage in market value over competitor Dell. IBM’s cash flow per share is more than seven times that of Dell’s for the past three years, and more than five times book value per share. </w:t>
      </w:r>
    </w:p>
    <w:p w:rsidR="00C479CB" w:rsidRDefault="00511C6C" w:rsidP="00C479CB">
      <w:r>
        <w:t>Conclusion</w:t>
      </w:r>
    </w:p>
    <w:p w:rsidR="00511C6C" w:rsidRDefault="00511C6C" w:rsidP="00C479CB">
      <w:pPr>
        <w:spacing w:line="480" w:lineRule="auto"/>
        <w:ind w:firstLine="720"/>
      </w:pPr>
      <w:r>
        <w:t>IBM has competitive advantages in profitability, market value, and interest coverage compared to competitor Dell. The company has competitive disadvantages when i</w:t>
      </w:r>
      <w:r w:rsidR="00FD7ABD">
        <w:t xml:space="preserve">t comes to </w:t>
      </w:r>
      <w:r>
        <w:t xml:space="preserve">the ability </w:t>
      </w:r>
      <w:r w:rsidR="00FD7ABD">
        <w:t>to efficiently manage inventory</w:t>
      </w:r>
      <w:r>
        <w:t xml:space="preserve"> and liquidity. </w:t>
      </w:r>
      <w:r w:rsidR="00FD7ABD">
        <w:t xml:space="preserve">IBM operates in a highly competitive environment, and the company’s asset management and short-term solvency ratios reflect that factor compared to Dell, among IBM’s other competitors. To remain industry leader, it is imperative for IBM to maintain a strong value chain with continual innovation, progress, and acknowledge their industry competitors.  </w:t>
      </w:r>
    </w:p>
    <w:p w:rsidR="00C479CB" w:rsidRDefault="00C479CB" w:rsidP="00C479CB">
      <w:pPr>
        <w:spacing w:line="480" w:lineRule="auto"/>
        <w:jc w:val="center"/>
      </w:pPr>
      <w:r>
        <w:lastRenderedPageBreak/>
        <w:t>Works Cited</w:t>
      </w:r>
    </w:p>
    <w:p w:rsidR="00C479CB" w:rsidRDefault="00C479CB" w:rsidP="00C479CB">
      <w:pPr>
        <w:spacing w:line="480" w:lineRule="auto"/>
      </w:pPr>
      <w:r>
        <w:t xml:space="preserve">Friedman, Laurie. “Smarter Sustainability.” Smarter Planet Blog. April 15, 2010 </w:t>
      </w:r>
    </w:p>
    <w:p w:rsidR="00C479CB" w:rsidRDefault="00C479CB" w:rsidP="00C479CB">
      <w:pPr>
        <w:spacing w:line="480" w:lineRule="auto"/>
        <w:ind w:firstLine="720"/>
      </w:pPr>
      <w:r>
        <w:t xml:space="preserve">&lt; </w:t>
      </w:r>
      <w:hyperlink r:id="rId9" w:history="1">
        <w:r w:rsidRPr="00AB244E">
          <w:rPr>
            <w:rStyle w:val="Hyperlink"/>
          </w:rPr>
          <w:t>http://asmarterplanet.com/blog/2010/04/smarter-sustainabilityold.html</w:t>
        </w:r>
      </w:hyperlink>
      <w:r>
        <w:t>&gt;.</w:t>
      </w:r>
    </w:p>
    <w:p w:rsidR="00AB7D3E" w:rsidRDefault="00AB7D3E" w:rsidP="00C479CB">
      <w:pPr>
        <w:spacing w:line="480" w:lineRule="auto"/>
      </w:pPr>
      <w:r>
        <w:t>Dell, Inc. (2011). Dell 2010 Annual Report. Round Rock, Texas. &lt;</w:t>
      </w:r>
      <w:hyperlink r:id="rId10" w:history="1">
        <w:r w:rsidRPr="002767FD">
          <w:rPr>
            <w:rStyle w:val="Hyperlink"/>
          </w:rPr>
          <w:t>http://www.dell.com</w:t>
        </w:r>
      </w:hyperlink>
      <w:r>
        <w:t xml:space="preserve">&gt;. </w:t>
      </w:r>
    </w:p>
    <w:p w:rsidR="00C479CB" w:rsidRDefault="00C479CB" w:rsidP="00C479CB">
      <w:pPr>
        <w:spacing w:line="480" w:lineRule="auto"/>
      </w:pPr>
      <w:r>
        <w:t xml:space="preserve">IBM. </w:t>
      </w:r>
      <w:r w:rsidR="00AB7D3E">
        <w:t xml:space="preserve">(2011). </w:t>
      </w:r>
      <w:r w:rsidRPr="00AB7D3E">
        <w:rPr>
          <w:i/>
        </w:rPr>
        <w:t xml:space="preserve">IBM </w:t>
      </w:r>
      <w:r w:rsidR="00AB7D3E" w:rsidRPr="00AB7D3E">
        <w:rPr>
          <w:i/>
        </w:rPr>
        <w:t>2011 Annual Report</w:t>
      </w:r>
      <w:r>
        <w:t xml:space="preserve">. </w:t>
      </w:r>
      <w:r w:rsidR="00AB7D3E">
        <w:t xml:space="preserve">Armonk, New York. </w:t>
      </w:r>
      <w:r>
        <w:t>&lt;</w:t>
      </w:r>
      <w:hyperlink r:id="rId11" w:history="1">
        <w:r w:rsidRPr="00AB244E">
          <w:rPr>
            <w:rStyle w:val="Hyperlink"/>
          </w:rPr>
          <w:t>http://www.ibm.com</w:t>
        </w:r>
      </w:hyperlink>
      <w:r>
        <w:t>&gt;</w:t>
      </w:r>
      <w:r w:rsidR="00AB7D3E">
        <w:t>.</w:t>
      </w:r>
    </w:p>
    <w:p w:rsidR="00AB7D3E" w:rsidRDefault="00AB7D3E" w:rsidP="00C479CB">
      <w:pPr>
        <w:spacing w:line="480" w:lineRule="auto"/>
      </w:pPr>
      <w:r>
        <w:t xml:space="preserve">IBM. (2011). </w:t>
      </w:r>
      <w:r w:rsidRPr="00AB7D3E">
        <w:rPr>
          <w:i/>
        </w:rPr>
        <w:t>IBM 2010 Annual Report</w:t>
      </w:r>
      <w:r>
        <w:t>. Armonk, New York. &lt;</w:t>
      </w:r>
      <w:hyperlink r:id="rId12" w:history="1">
        <w:r w:rsidRPr="002767FD">
          <w:rPr>
            <w:rStyle w:val="Hyperlink"/>
          </w:rPr>
          <w:t>http://www.ibm.com</w:t>
        </w:r>
      </w:hyperlink>
      <w:r>
        <w:t>&gt;.</w:t>
      </w:r>
    </w:p>
    <w:p w:rsidR="009C370D" w:rsidRDefault="009C370D" w:rsidP="009C370D">
      <w:pPr>
        <w:spacing w:line="480" w:lineRule="auto"/>
      </w:pPr>
      <w:r>
        <w:t>Investopedia.com. &lt;</w:t>
      </w:r>
      <w:hyperlink r:id="rId13" w:history="1">
        <w:r w:rsidRPr="002767FD">
          <w:rPr>
            <w:rStyle w:val="Hyperlink"/>
          </w:rPr>
          <w:t>http://www.investopedia.com</w:t>
        </w:r>
      </w:hyperlink>
      <w:r>
        <w:t>&gt;.</w:t>
      </w:r>
    </w:p>
    <w:p w:rsidR="00C479CB" w:rsidRDefault="00AB7D3E" w:rsidP="00AB7D3E">
      <w:r>
        <w:t xml:space="preserve">Mergent, Inc. (2011). </w:t>
      </w:r>
      <w:r w:rsidRPr="00AB7D3E">
        <w:rPr>
          <w:i/>
        </w:rPr>
        <w:t>IBM/Dell 2008, 2009, 2010 Competitor Report</w:t>
      </w:r>
      <w:r>
        <w:t>. Mergent Online D</w:t>
      </w:r>
      <w:r w:rsidR="00C479CB">
        <w:t>atabase</w:t>
      </w:r>
      <w:r>
        <w:t>.</w:t>
      </w:r>
    </w:p>
    <w:p w:rsidR="00AB7D3E" w:rsidRDefault="00AB7D3E" w:rsidP="00C479CB">
      <w:pPr>
        <w:spacing w:line="480" w:lineRule="auto"/>
      </w:pPr>
      <w:r>
        <w:t xml:space="preserve">St. John, Jeff. “IBM: All Your Smart Meters are Belong to Us.” Gigaom.com. Feb. 28, 2011 </w:t>
      </w:r>
    </w:p>
    <w:p w:rsidR="00C479CB" w:rsidRDefault="00AB7D3E" w:rsidP="00AB7D3E">
      <w:pPr>
        <w:spacing w:line="480" w:lineRule="auto"/>
        <w:ind w:firstLine="720"/>
      </w:pPr>
      <w:r>
        <w:t>&lt;</w:t>
      </w:r>
      <w:hyperlink r:id="rId14" w:history="1">
        <w:r w:rsidR="00C479CB" w:rsidRPr="00F05F23">
          <w:rPr>
            <w:rStyle w:val="Hyperlink"/>
          </w:rPr>
          <w:t>http://gigaom.com/cleantech/ibm-all-your-smart-meters-are-belong-to-us/</w:t>
        </w:r>
      </w:hyperlink>
      <w:r>
        <w:rPr>
          <w:rStyle w:val="Hyperlink"/>
        </w:rPr>
        <w:t xml:space="preserve">&gt;. </w:t>
      </w:r>
      <w:r w:rsidR="00C479CB">
        <w:t xml:space="preserve"> </w:t>
      </w:r>
    </w:p>
    <w:p w:rsidR="00AB7D3E" w:rsidRDefault="00AB7D3E" w:rsidP="00AB7D3E">
      <w:pPr>
        <w:spacing w:line="480" w:lineRule="auto"/>
      </w:pPr>
      <w:r>
        <w:t xml:space="preserve">Palmisano,Samuel J. “Smarter Power for a Smarter Planet.” GridWise Global Forum 2010. </w:t>
      </w:r>
    </w:p>
    <w:p w:rsidR="00C479CB" w:rsidRDefault="00AB7D3E" w:rsidP="00AB7D3E">
      <w:pPr>
        <w:spacing w:line="480" w:lineRule="auto"/>
        <w:ind w:left="720"/>
      </w:pPr>
      <w:r>
        <w:t>September 21, 2010. &lt;</w:t>
      </w:r>
      <w:hyperlink r:id="rId15" w:history="1">
        <w:r w:rsidRPr="002767FD">
          <w:rPr>
            <w:rStyle w:val="Hyperlink"/>
          </w:rPr>
          <w:t>http://www.ibm.com/smarterplanet/us/en/smart_grid/article/palmisano_gridwise_speech.html</w:t>
        </w:r>
      </w:hyperlink>
      <w:r>
        <w:t>&gt;.</w:t>
      </w:r>
    </w:p>
    <w:p w:rsidR="00181B4B" w:rsidRDefault="00181B4B" w:rsidP="00181B4B"/>
    <w:p w:rsidR="00362689" w:rsidRDefault="00362689" w:rsidP="00362689"/>
    <w:p w:rsidR="00362689" w:rsidRDefault="00362689"/>
    <w:p w:rsidR="009C370D" w:rsidRDefault="009C370D" w:rsidP="00362689">
      <w:pPr>
        <w:widowControl w:val="0"/>
        <w:autoSpaceDE w:val="0"/>
        <w:autoSpaceDN w:val="0"/>
        <w:adjustRightInd w:val="0"/>
        <w:spacing w:after="0" w:line="240" w:lineRule="auto"/>
        <w:ind w:left="28"/>
        <w:rPr>
          <w:rFonts w:ascii="Arial" w:hAnsi="Arial" w:cs="Arial"/>
          <w:b/>
          <w:bCs/>
          <w:sz w:val="28"/>
          <w:szCs w:val="28"/>
        </w:rPr>
      </w:pPr>
    </w:p>
    <w:p w:rsidR="009C370D" w:rsidRDefault="009C370D" w:rsidP="00362689">
      <w:pPr>
        <w:widowControl w:val="0"/>
        <w:autoSpaceDE w:val="0"/>
        <w:autoSpaceDN w:val="0"/>
        <w:adjustRightInd w:val="0"/>
        <w:spacing w:after="0" w:line="240" w:lineRule="auto"/>
        <w:ind w:left="28"/>
        <w:rPr>
          <w:rFonts w:ascii="Arial" w:hAnsi="Arial" w:cs="Arial"/>
          <w:b/>
          <w:bCs/>
          <w:sz w:val="28"/>
          <w:szCs w:val="28"/>
        </w:rPr>
      </w:pPr>
    </w:p>
    <w:p w:rsidR="009C370D" w:rsidRDefault="009C370D" w:rsidP="00362689">
      <w:pPr>
        <w:widowControl w:val="0"/>
        <w:autoSpaceDE w:val="0"/>
        <w:autoSpaceDN w:val="0"/>
        <w:adjustRightInd w:val="0"/>
        <w:spacing w:after="0" w:line="240" w:lineRule="auto"/>
        <w:ind w:left="28"/>
        <w:rPr>
          <w:rFonts w:ascii="Arial" w:hAnsi="Arial" w:cs="Arial"/>
          <w:b/>
          <w:bCs/>
          <w:sz w:val="28"/>
          <w:szCs w:val="28"/>
        </w:rPr>
      </w:pPr>
    </w:p>
    <w:p w:rsidR="009C370D" w:rsidRDefault="009C370D" w:rsidP="00362689">
      <w:pPr>
        <w:widowControl w:val="0"/>
        <w:autoSpaceDE w:val="0"/>
        <w:autoSpaceDN w:val="0"/>
        <w:adjustRightInd w:val="0"/>
        <w:spacing w:after="0" w:line="240" w:lineRule="auto"/>
        <w:ind w:left="28"/>
        <w:rPr>
          <w:rFonts w:ascii="Arial" w:hAnsi="Arial" w:cs="Arial"/>
          <w:b/>
          <w:bCs/>
          <w:sz w:val="28"/>
          <w:szCs w:val="28"/>
        </w:rPr>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lastRenderedPageBreak/>
        <w:t>International Business Machines Corp. (NYS: IBM)</w:t>
      </w:r>
    </w:p>
    <w:p w:rsidR="00362689" w:rsidRDefault="00362689" w:rsidP="00362689">
      <w:pPr>
        <w:widowControl w:val="0"/>
        <w:autoSpaceDE w:val="0"/>
        <w:autoSpaceDN w:val="0"/>
        <w:adjustRightInd w:val="0"/>
        <w:spacing w:after="0" w:line="240" w:lineRule="auto"/>
        <w:ind w:left="28"/>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General Company Information</w:t>
      </w:r>
    </w:p>
    <w:tbl>
      <w:tblPr>
        <w:tblW w:w="0" w:type="auto"/>
        <w:tblLayout w:type="fixed"/>
        <w:tblCellMar>
          <w:left w:w="0" w:type="dxa"/>
          <w:right w:w="0" w:type="dxa"/>
        </w:tblCellMar>
        <w:tblLook w:val="0000" w:firstRow="0" w:lastRow="0" w:firstColumn="0" w:lastColumn="0" w:noHBand="0" w:noVBand="0"/>
      </w:tblPr>
      <w:tblGrid>
        <w:gridCol w:w="3969"/>
        <w:gridCol w:w="4253"/>
      </w:tblGrid>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Principal Office</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Website</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One New Orchard Road</w:t>
            </w:r>
            <w:r>
              <w:rPr>
                <w:rFonts w:ascii="Arial" w:hAnsi="Arial" w:cs="Arial"/>
                <w:sz w:val="20"/>
                <w:szCs w:val="20"/>
              </w:rPr>
              <w:br/>
              <w:t>Armonk, NY 10504 USA</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www.ibm.com</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Phone</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Primary NAICS</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914 499-1900</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541519 : Other Computer Related Services</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Fax</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Closing Stock Price</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914 765-4190</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166.12 (as of 06/23/2011)</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Auditor</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Incorporated</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PricewatehouseCoopers LLP</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June 1911 , NY, United States</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Number of Employees</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Mergent Dividend Achiever</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426,751 (Year End Average Staff as of 12/31/2010)</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Yes, # of Years: 13</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Country</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Number of Shareholders</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United States</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523,553 (as of 02/10/2011)</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Exchange and Ticker</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Annual Meeting</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NYS : IBM</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In April</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Primary SIC</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7379 : Computer related services, nec</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Business Summary</w:t>
      </w:r>
    </w:p>
    <w:p w:rsidR="00362689" w:rsidRDefault="00362689" w:rsidP="00362689">
      <w:pPr>
        <w:widowControl w:val="0"/>
        <w:autoSpaceDE w:val="0"/>
        <w:autoSpaceDN w:val="0"/>
        <w:adjustRightInd w:val="0"/>
        <w:spacing w:after="0" w:line="240" w:lineRule="auto"/>
        <w:ind w:left="28"/>
      </w:pPr>
      <w:r>
        <w:rPr>
          <w:rFonts w:ascii="Arial" w:hAnsi="Arial" w:cs="Arial"/>
          <w:sz w:val="20"/>
          <w:szCs w:val="20"/>
        </w:rPr>
        <w:t>International Business Machines operates in five principal business segments: Global Technology Services, which primarily provides information technology infrastructure services and business process services; Global Business Services, which primarily provides professional services and application outsourcing services; Software, which consists primarily of middleware and operating systems software; Systems and Technology, which provides business applications requiring enhanced computing power and storage capabilities; and Global Financing, which facilitates clients' acquisition of its systems, software and services.</w:t>
      </w:r>
    </w:p>
    <w:p w:rsidR="00362689" w:rsidRDefault="00362689" w:rsidP="00362689">
      <w:pPr>
        <w:widowControl w:val="0"/>
        <w:autoSpaceDE w:val="0"/>
        <w:autoSpaceDN w:val="0"/>
        <w:adjustRightInd w:val="0"/>
        <w:spacing w:after="0" w:line="240" w:lineRule="auto"/>
        <w:ind w:left="28"/>
      </w:pPr>
    </w:p>
    <w:p w:rsidR="00362689" w:rsidRDefault="00362689" w:rsidP="00362689">
      <w:pPr>
        <w:widowControl w:val="0"/>
        <w:autoSpaceDE w:val="0"/>
        <w:autoSpaceDN w:val="0"/>
        <w:adjustRightInd w:val="0"/>
        <w:spacing w:after="0" w:line="240" w:lineRule="auto"/>
        <w:ind w:left="28"/>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Company Financials</w:t>
      </w:r>
    </w:p>
    <w:p w:rsidR="00362689" w:rsidRDefault="00362689" w:rsidP="00362689">
      <w:pPr>
        <w:widowControl w:val="0"/>
        <w:autoSpaceDE w:val="0"/>
        <w:autoSpaceDN w:val="0"/>
        <w:adjustRightInd w:val="0"/>
        <w:spacing w:after="0" w:line="240" w:lineRule="auto"/>
        <w:ind w:left="28"/>
      </w:pPr>
      <w:r>
        <w:rPr>
          <w:rFonts w:ascii="Arial" w:hAnsi="Arial" w:cs="Arial"/>
          <w:b/>
          <w:bCs/>
          <w:sz w:val="20"/>
          <w:szCs w:val="20"/>
        </w:rPr>
        <w:t>Ratios</w:t>
      </w:r>
    </w:p>
    <w:p w:rsidR="00362689" w:rsidRDefault="00362689" w:rsidP="00362689">
      <w:pPr>
        <w:widowControl w:val="0"/>
        <w:autoSpaceDE w:val="0"/>
        <w:autoSpaceDN w:val="0"/>
        <w:adjustRightInd w:val="0"/>
        <w:spacing w:after="0" w:line="240" w:lineRule="auto"/>
        <w:ind w:left="28"/>
      </w:pPr>
      <w:r>
        <w:rPr>
          <w:rFonts w:ascii="Arial" w:hAnsi="Arial" w:cs="Arial"/>
          <w:sz w:val="20"/>
          <w:szCs w:val="20"/>
        </w:rPr>
        <w:t>Exchange rate used is that of the Year End reported date</w:t>
      </w: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Profitability Ratios</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ROA % (Net)</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13.33</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12.29</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10.7</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ROE % (Net)</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64.94</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74.37</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58.66</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lastRenderedPageBreak/>
              <w:t>ROI % (Operating)</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36.15</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35.39</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28.6</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EBITDA Margin %</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24.86</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24.48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21.71</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Calculated Tax Rate %</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24.79</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25.98</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26.21</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Revenue per Employee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234,024</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218,737</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235,909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Liquidity Ratios</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Quick Ratio</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0.98</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1.13</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Current Ratio</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1.19</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1.36</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1.15</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Net Current Assets % TA</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6.66</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11.86</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Debt Management</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LT Debt to Equity</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0.95</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0.97</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1.69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Total Debt to Equity</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1.24</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1.15</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2.52</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Interest Coverage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65.76</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55.23</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48.3</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Asset Management</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Total Asset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0.88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Receivables Turnover</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3.63</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3.52</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3.67</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Inventory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21.79</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20.01</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21.61</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Accounts Payable Turnover</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13.11</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13.25</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13.72</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Accrued Expenses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20.95</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20.98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22.3</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Property Plant &amp; Equip Turnover</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7.07</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6.73</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7.03</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Cash &amp; Equivalents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8.74</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7.68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7.45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Per Share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12/31/2008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Cash Flow per Share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15.41</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15.65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lastRenderedPageBreak/>
              <w:t>Book Value per Share</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18.77</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17.34</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10.06</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p w:rsidR="00F95E6A" w:rsidRDefault="00F95E6A"/>
    <w:p w:rsidR="00362689" w:rsidRDefault="00362689"/>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Dell Inc (NMS: DELL)</w:t>
      </w:r>
    </w:p>
    <w:p w:rsidR="00362689" w:rsidRDefault="00362689" w:rsidP="00362689">
      <w:pPr>
        <w:widowControl w:val="0"/>
        <w:autoSpaceDE w:val="0"/>
        <w:autoSpaceDN w:val="0"/>
        <w:adjustRightInd w:val="0"/>
        <w:spacing w:after="0" w:line="240" w:lineRule="auto"/>
        <w:ind w:left="28"/>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General Company Information</w:t>
      </w:r>
    </w:p>
    <w:tbl>
      <w:tblPr>
        <w:tblW w:w="0" w:type="auto"/>
        <w:tblLayout w:type="fixed"/>
        <w:tblCellMar>
          <w:left w:w="0" w:type="dxa"/>
          <w:right w:w="0" w:type="dxa"/>
        </w:tblCellMar>
        <w:tblLook w:val="0000" w:firstRow="0" w:lastRow="0" w:firstColumn="0" w:lastColumn="0" w:noHBand="0" w:noVBand="0"/>
      </w:tblPr>
      <w:tblGrid>
        <w:gridCol w:w="3969"/>
        <w:gridCol w:w="4253"/>
      </w:tblGrid>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Principal Office</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Website</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One Dell Way</w:t>
            </w:r>
            <w:r>
              <w:rPr>
                <w:rFonts w:ascii="Arial" w:hAnsi="Arial" w:cs="Arial"/>
                <w:sz w:val="20"/>
                <w:szCs w:val="20"/>
              </w:rPr>
              <w:br/>
              <w:t>Round Rock, TX 78682 USA</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www.dell.com</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Phone</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Primary NAICS</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512 338-4400</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334111 : Electronic Computer Manufacturing</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Fax</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Closing Stock Price</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512 283-6161</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16.27 (as of 06/23/2011)</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Auditor</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Incorporated</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PricewaterhouseCoppers LLP</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May 1984 , TX, United States</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Number of Employees</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Mergent Dividend Achiever</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100,300 (Approximate Full-Time as of 01/28/2011)</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No</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Country</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Number of Shareholders</w:t>
            </w: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United States</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29,320 (record) (as of 03/04/2011)</w:t>
            </w: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Exchange and Ticker</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NMS : DELL</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Primary SIC</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3969"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3571 : Electronic computers</w:t>
            </w:r>
          </w:p>
        </w:tc>
        <w:tc>
          <w:tcPr>
            <w:tcW w:w="4253"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8222" w:type="dxa"/>
            <w:gridSpan w:val="2"/>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Business Summary</w:t>
      </w:r>
    </w:p>
    <w:p w:rsidR="00362689" w:rsidRDefault="00362689" w:rsidP="00362689">
      <w:pPr>
        <w:widowControl w:val="0"/>
        <w:autoSpaceDE w:val="0"/>
        <w:autoSpaceDN w:val="0"/>
        <w:adjustRightInd w:val="0"/>
        <w:spacing w:after="0" w:line="240" w:lineRule="auto"/>
        <w:ind w:left="28"/>
      </w:pPr>
      <w:r>
        <w:rPr>
          <w:rFonts w:ascii="Arial" w:hAnsi="Arial" w:cs="Arial"/>
          <w:sz w:val="20"/>
          <w:szCs w:val="20"/>
        </w:rPr>
        <w:t>Dell is a holding company. Through its subsidiaries, Co. provides a range of technology product categories, including mobility products, desktop personal computers, software and peripherals, servers and networking products, storage, and services. Co.'s services include a range of configurable information technology and business services, including infrastructure technology, consulting and applications, and product-related support services. Co. also provides software and peripheral products. Co. conducts its businesses through four reportable segments: Large Enterprise; Public; Small and Medium Business; and Consumer.</w:t>
      </w:r>
    </w:p>
    <w:p w:rsidR="00362689" w:rsidRDefault="00362689" w:rsidP="00362689">
      <w:pPr>
        <w:widowControl w:val="0"/>
        <w:autoSpaceDE w:val="0"/>
        <w:autoSpaceDN w:val="0"/>
        <w:adjustRightInd w:val="0"/>
        <w:spacing w:after="0" w:line="240" w:lineRule="auto"/>
        <w:ind w:left="28"/>
      </w:pPr>
    </w:p>
    <w:p w:rsidR="00362689" w:rsidRDefault="00362689" w:rsidP="00362689">
      <w:pPr>
        <w:widowControl w:val="0"/>
        <w:autoSpaceDE w:val="0"/>
        <w:autoSpaceDN w:val="0"/>
        <w:adjustRightInd w:val="0"/>
        <w:spacing w:after="0" w:line="240" w:lineRule="auto"/>
        <w:ind w:left="28"/>
      </w:pPr>
      <w:r>
        <w:rPr>
          <w:rFonts w:ascii="Arial" w:hAnsi="Arial" w:cs="Arial"/>
          <w:b/>
          <w:bCs/>
          <w:sz w:val="28"/>
          <w:szCs w:val="28"/>
        </w:rPr>
        <w:t>Company Financials</w:t>
      </w:r>
    </w:p>
    <w:p w:rsidR="00362689" w:rsidRDefault="00362689" w:rsidP="00362689">
      <w:pPr>
        <w:widowControl w:val="0"/>
        <w:autoSpaceDE w:val="0"/>
        <w:autoSpaceDN w:val="0"/>
        <w:adjustRightInd w:val="0"/>
        <w:spacing w:after="0" w:line="240" w:lineRule="auto"/>
        <w:ind w:left="28"/>
      </w:pPr>
      <w:r>
        <w:rPr>
          <w:rFonts w:ascii="Arial" w:hAnsi="Arial" w:cs="Arial"/>
          <w:b/>
          <w:bCs/>
          <w:sz w:val="20"/>
          <w:szCs w:val="20"/>
        </w:rPr>
        <w:t>Ratios</w:t>
      </w:r>
    </w:p>
    <w:p w:rsidR="00362689" w:rsidRDefault="00362689" w:rsidP="00362689">
      <w:pPr>
        <w:widowControl w:val="0"/>
        <w:autoSpaceDE w:val="0"/>
        <w:autoSpaceDN w:val="0"/>
        <w:adjustRightInd w:val="0"/>
        <w:spacing w:after="0" w:line="240" w:lineRule="auto"/>
        <w:ind w:left="28"/>
      </w:pPr>
      <w:r>
        <w:rPr>
          <w:rFonts w:ascii="Arial" w:hAnsi="Arial" w:cs="Arial"/>
          <w:sz w:val="20"/>
          <w:szCs w:val="20"/>
        </w:rPr>
        <w:t>Exchange rate used is that of the Year End reported date</w:t>
      </w: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Profitability Ratios</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02/01/</w:t>
            </w:r>
            <w:r>
              <w:rPr>
                <w:rFonts w:ascii="Arial" w:hAnsi="Arial" w:cs="Arial"/>
                <w:b/>
                <w:bCs/>
                <w:sz w:val="20"/>
                <w:szCs w:val="20"/>
              </w:rPr>
              <w:lastRenderedPageBreak/>
              <w:t>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lastRenderedPageBreak/>
              <w:t>ROA % (Net)</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4.78</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9.19</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11.11</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ROE % (Net)</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28.99</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61.35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71.48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ROI % (Operating)</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27.22</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59.8</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71.77</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EBITDA Margin %</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5.61</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6.65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6.59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Calculated Tax Rate %</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29.2</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25.45</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22.82</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Revenue per Employee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552,576</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776,538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695,022</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Liquidity Ratios</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02/01/2008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Quick Ratio</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1.03</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1.05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0.85</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Current Ratio</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1.28</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1.36</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1.07</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Net Current Assets % TA</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15.7</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19.97</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4.91</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Debt Management</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02/01/2008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LT Debt to Equity</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0.61</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0.44</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Total Debt to Equity</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0.72</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0.47</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0.15</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Interest Coverage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23.87</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Asset Management</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02/01/2008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Total Asset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1.76</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2.27</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2.3</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Receivables Turnover</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7.08</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8.67</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8.86</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Inventory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45.51</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48.99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53.76</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Accounts Payable Turnover</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5.39</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6.19</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5.59</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Accrued Expenses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32.65</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35.37</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26.14</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Property Plant &amp; Equip Turnover</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23.8</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24.78</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24.15</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Cash &amp; Equivalents Turnover</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5.59</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7.6</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7.08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552"/>
        <w:gridCol w:w="1418"/>
        <w:gridCol w:w="1418"/>
        <w:gridCol w:w="1418"/>
        <w:gridCol w:w="360"/>
        <w:gridCol w:w="360"/>
        <w:gridCol w:w="360"/>
      </w:tblGrid>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lastRenderedPageBreak/>
              <w:t>Per Share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01/29/2010</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01/30/2009</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b/>
                <w:bCs/>
                <w:sz w:val="20"/>
                <w:szCs w:val="20"/>
              </w:rPr>
              <w:t>02/01/2008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Cash Flow per Share</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w:t>
            </w: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0.96</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1.78</w:t>
            </w:r>
          </w:p>
        </w:tc>
        <w:tc>
          <w:tcPr>
            <w:tcW w:w="360" w:type="dxa"/>
            <w:tcBorders>
              <w:top w:val="nil"/>
              <w:left w:val="nil"/>
              <w:bottom w:val="nil"/>
              <w:right w:val="nil"/>
            </w:tcBorders>
          </w:tcPr>
          <w:p w:rsidR="00362689" w:rsidRDefault="00362689" w:rsidP="00D748F8">
            <w:pPr>
              <w:widowControl w:val="0"/>
              <w:autoSpaceDE w:val="0"/>
              <w:autoSpaceDN w:val="0"/>
              <w:adjustRightInd w:val="0"/>
              <w:spacing w:after="0" w:line="240" w:lineRule="auto"/>
              <w:ind w:left="28"/>
            </w:pPr>
          </w:p>
        </w:tc>
      </w:tr>
      <w:tr w:rsidR="00362689" w:rsidTr="00D748F8">
        <w:tc>
          <w:tcPr>
            <w:tcW w:w="2552"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Book Value per Share</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2.88</w:t>
            </w: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1418"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2.2</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r>
              <w:rPr>
                <w:rFonts w:ascii="Arial" w:hAnsi="Arial" w:cs="Arial"/>
                <w:sz w:val="20"/>
                <w:szCs w:val="20"/>
              </w:rPr>
              <w:t>1.86</w:t>
            </w:r>
          </w:p>
        </w:tc>
        <w:tc>
          <w:tcPr>
            <w:tcW w:w="360" w:type="dxa"/>
            <w:tcBorders>
              <w:top w:val="nil"/>
              <w:left w:val="nil"/>
              <w:bottom w:val="nil"/>
              <w:right w:val="nil"/>
            </w:tcBorders>
            <w:shd w:val="clear" w:color="auto" w:fill="E7E7E7"/>
          </w:tcPr>
          <w:p w:rsidR="00362689" w:rsidRDefault="00362689" w:rsidP="00D748F8">
            <w:pPr>
              <w:widowControl w:val="0"/>
              <w:autoSpaceDE w:val="0"/>
              <w:autoSpaceDN w:val="0"/>
              <w:adjustRightInd w:val="0"/>
              <w:spacing w:after="0" w:line="240" w:lineRule="auto"/>
              <w:ind w:left="28"/>
            </w:pPr>
          </w:p>
        </w:tc>
      </w:tr>
    </w:tbl>
    <w:p w:rsidR="00362689" w:rsidRDefault="00362689" w:rsidP="00362689">
      <w:pPr>
        <w:widowControl w:val="0"/>
        <w:autoSpaceDE w:val="0"/>
        <w:autoSpaceDN w:val="0"/>
        <w:adjustRightInd w:val="0"/>
        <w:spacing w:after="0" w:line="240" w:lineRule="auto"/>
      </w:pPr>
    </w:p>
    <w:p w:rsidR="00F95E6A" w:rsidRDefault="00F95E6A"/>
    <w:p w:rsidR="00C00E3A" w:rsidRDefault="00C00E3A"/>
    <w:p w:rsidR="00C00E3A" w:rsidRDefault="00C00E3A"/>
    <w:p w:rsidR="00C00E3A" w:rsidRDefault="00C00E3A"/>
    <w:sectPr w:rsidR="00C00E3A" w:rsidSect="00E84279">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C4" w:rsidRDefault="00EF2EC4" w:rsidP="009C370D">
      <w:pPr>
        <w:spacing w:after="0" w:line="240" w:lineRule="auto"/>
      </w:pPr>
      <w:r>
        <w:separator/>
      </w:r>
    </w:p>
  </w:endnote>
  <w:endnote w:type="continuationSeparator" w:id="0">
    <w:p w:rsidR="00EF2EC4" w:rsidRDefault="00EF2EC4" w:rsidP="009C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C4" w:rsidRDefault="00EF2EC4" w:rsidP="009C370D">
      <w:pPr>
        <w:spacing w:after="0" w:line="240" w:lineRule="auto"/>
      </w:pPr>
      <w:r>
        <w:separator/>
      </w:r>
    </w:p>
  </w:footnote>
  <w:footnote w:type="continuationSeparator" w:id="0">
    <w:p w:rsidR="00EF2EC4" w:rsidRDefault="00EF2EC4" w:rsidP="009C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09985"/>
      <w:docPartObj>
        <w:docPartGallery w:val="Page Numbers (Top of Page)"/>
        <w:docPartUnique/>
      </w:docPartObj>
    </w:sdtPr>
    <w:sdtEndPr>
      <w:rPr>
        <w:noProof/>
      </w:rPr>
    </w:sdtEndPr>
    <w:sdtContent>
      <w:p w:rsidR="009C370D" w:rsidRDefault="009C370D">
        <w:pPr>
          <w:pStyle w:val="Header"/>
          <w:jc w:val="right"/>
        </w:pPr>
        <w:r>
          <w:t xml:space="preserve">Nguyen </w:t>
        </w:r>
        <w:r>
          <w:fldChar w:fldCharType="begin"/>
        </w:r>
        <w:r>
          <w:instrText xml:space="preserve"> PAGE   \* MERGEFORMAT </w:instrText>
        </w:r>
        <w:r>
          <w:fldChar w:fldCharType="separate"/>
        </w:r>
        <w:r w:rsidR="00E42733">
          <w:rPr>
            <w:noProof/>
          </w:rPr>
          <w:t>13</w:t>
        </w:r>
        <w:r>
          <w:rPr>
            <w:noProof/>
          </w:rPr>
          <w:fldChar w:fldCharType="end"/>
        </w:r>
      </w:p>
    </w:sdtContent>
  </w:sdt>
  <w:p w:rsidR="009C370D" w:rsidRDefault="009C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409"/>
    <w:multiLevelType w:val="hybridMultilevel"/>
    <w:tmpl w:val="2F22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97A29"/>
    <w:multiLevelType w:val="hybridMultilevel"/>
    <w:tmpl w:val="97D8A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43606"/>
    <w:multiLevelType w:val="hybridMultilevel"/>
    <w:tmpl w:val="CD0271AE"/>
    <w:lvl w:ilvl="0" w:tplc="FC862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E"/>
    <w:rsid w:val="000D06E8"/>
    <w:rsid w:val="000D521E"/>
    <w:rsid w:val="0010164D"/>
    <w:rsid w:val="0011792E"/>
    <w:rsid w:val="001717A7"/>
    <w:rsid w:val="00181B4B"/>
    <w:rsid w:val="002122DE"/>
    <w:rsid w:val="002570AD"/>
    <w:rsid w:val="002F6108"/>
    <w:rsid w:val="00362689"/>
    <w:rsid w:val="00494161"/>
    <w:rsid w:val="00511C6C"/>
    <w:rsid w:val="00555529"/>
    <w:rsid w:val="00653622"/>
    <w:rsid w:val="006B7D58"/>
    <w:rsid w:val="006F29A1"/>
    <w:rsid w:val="008514DE"/>
    <w:rsid w:val="00910A39"/>
    <w:rsid w:val="009458BC"/>
    <w:rsid w:val="00952616"/>
    <w:rsid w:val="00990E41"/>
    <w:rsid w:val="009B70DE"/>
    <w:rsid w:val="009C370D"/>
    <w:rsid w:val="00AB7D3E"/>
    <w:rsid w:val="00AF2E11"/>
    <w:rsid w:val="00B659F0"/>
    <w:rsid w:val="00C00E3A"/>
    <w:rsid w:val="00C4746F"/>
    <w:rsid w:val="00C479CB"/>
    <w:rsid w:val="00C54329"/>
    <w:rsid w:val="00D748F8"/>
    <w:rsid w:val="00D91D07"/>
    <w:rsid w:val="00DB3700"/>
    <w:rsid w:val="00DE0C4A"/>
    <w:rsid w:val="00DF5FB3"/>
    <w:rsid w:val="00E22CEF"/>
    <w:rsid w:val="00E35FA7"/>
    <w:rsid w:val="00E42733"/>
    <w:rsid w:val="00E84279"/>
    <w:rsid w:val="00EF2EC4"/>
    <w:rsid w:val="00F069B2"/>
    <w:rsid w:val="00F95E6A"/>
    <w:rsid w:val="00FA39DF"/>
    <w:rsid w:val="00FD7ABD"/>
    <w:rsid w:val="00FE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1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89"/>
    <w:pPr>
      <w:ind w:left="720"/>
      <w:contextualSpacing/>
    </w:pPr>
  </w:style>
  <w:style w:type="character" w:styleId="Hyperlink">
    <w:name w:val="Hyperlink"/>
    <w:basedOn w:val="DefaultParagraphFont"/>
    <w:uiPriority w:val="99"/>
    <w:unhideWhenUsed/>
    <w:rsid w:val="00C00E3A"/>
    <w:rPr>
      <w:color w:val="0000FF" w:themeColor="hyperlink"/>
      <w:u w:val="single"/>
    </w:rPr>
  </w:style>
  <w:style w:type="character" w:styleId="FollowedHyperlink">
    <w:name w:val="FollowedHyperlink"/>
    <w:basedOn w:val="DefaultParagraphFont"/>
    <w:uiPriority w:val="99"/>
    <w:semiHidden/>
    <w:unhideWhenUsed/>
    <w:rsid w:val="00AB7D3E"/>
    <w:rPr>
      <w:color w:val="800080" w:themeColor="followedHyperlink"/>
      <w:u w:val="single"/>
    </w:rPr>
  </w:style>
  <w:style w:type="paragraph" w:styleId="Header">
    <w:name w:val="header"/>
    <w:basedOn w:val="Normal"/>
    <w:link w:val="HeaderChar"/>
    <w:uiPriority w:val="99"/>
    <w:unhideWhenUsed/>
    <w:rsid w:val="009C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0D"/>
    <w:rPr>
      <w:rFonts w:ascii="Times New Roman" w:hAnsi="Times New Roman" w:cs="Times New Roman"/>
      <w:sz w:val="24"/>
      <w:szCs w:val="24"/>
    </w:rPr>
  </w:style>
  <w:style w:type="paragraph" w:styleId="Footer">
    <w:name w:val="footer"/>
    <w:basedOn w:val="Normal"/>
    <w:link w:val="FooterChar"/>
    <w:uiPriority w:val="99"/>
    <w:unhideWhenUsed/>
    <w:rsid w:val="009C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0D"/>
    <w:rPr>
      <w:rFonts w:ascii="Times New Roman" w:hAnsi="Times New Roman" w:cs="Times New Roman"/>
      <w:sz w:val="24"/>
      <w:szCs w:val="24"/>
    </w:rPr>
  </w:style>
  <w:style w:type="paragraph" w:styleId="NoSpacing">
    <w:name w:val="No Spacing"/>
    <w:link w:val="NoSpacingChar"/>
    <w:uiPriority w:val="1"/>
    <w:qFormat/>
    <w:rsid w:val="00E842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4279"/>
    <w:rPr>
      <w:rFonts w:eastAsiaTheme="minorEastAsia"/>
      <w:lang w:eastAsia="ja-JP"/>
    </w:rPr>
  </w:style>
  <w:style w:type="paragraph" w:styleId="BalloonText">
    <w:name w:val="Balloon Text"/>
    <w:basedOn w:val="Normal"/>
    <w:link w:val="BalloonTextChar"/>
    <w:uiPriority w:val="99"/>
    <w:semiHidden/>
    <w:unhideWhenUsed/>
    <w:rsid w:val="00E8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1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89"/>
    <w:pPr>
      <w:ind w:left="720"/>
      <w:contextualSpacing/>
    </w:pPr>
  </w:style>
  <w:style w:type="character" w:styleId="Hyperlink">
    <w:name w:val="Hyperlink"/>
    <w:basedOn w:val="DefaultParagraphFont"/>
    <w:uiPriority w:val="99"/>
    <w:unhideWhenUsed/>
    <w:rsid w:val="00C00E3A"/>
    <w:rPr>
      <w:color w:val="0000FF" w:themeColor="hyperlink"/>
      <w:u w:val="single"/>
    </w:rPr>
  </w:style>
  <w:style w:type="character" w:styleId="FollowedHyperlink">
    <w:name w:val="FollowedHyperlink"/>
    <w:basedOn w:val="DefaultParagraphFont"/>
    <w:uiPriority w:val="99"/>
    <w:semiHidden/>
    <w:unhideWhenUsed/>
    <w:rsid w:val="00AB7D3E"/>
    <w:rPr>
      <w:color w:val="800080" w:themeColor="followedHyperlink"/>
      <w:u w:val="single"/>
    </w:rPr>
  </w:style>
  <w:style w:type="paragraph" w:styleId="Header">
    <w:name w:val="header"/>
    <w:basedOn w:val="Normal"/>
    <w:link w:val="HeaderChar"/>
    <w:uiPriority w:val="99"/>
    <w:unhideWhenUsed/>
    <w:rsid w:val="009C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0D"/>
    <w:rPr>
      <w:rFonts w:ascii="Times New Roman" w:hAnsi="Times New Roman" w:cs="Times New Roman"/>
      <w:sz w:val="24"/>
      <w:szCs w:val="24"/>
    </w:rPr>
  </w:style>
  <w:style w:type="paragraph" w:styleId="Footer">
    <w:name w:val="footer"/>
    <w:basedOn w:val="Normal"/>
    <w:link w:val="FooterChar"/>
    <w:uiPriority w:val="99"/>
    <w:unhideWhenUsed/>
    <w:rsid w:val="009C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0D"/>
    <w:rPr>
      <w:rFonts w:ascii="Times New Roman" w:hAnsi="Times New Roman" w:cs="Times New Roman"/>
      <w:sz w:val="24"/>
      <w:szCs w:val="24"/>
    </w:rPr>
  </w:style>
  <w:style w:type="paragraph" w:styleId="NoSpacing">
    <w:name w:val="No Spacing"/>
    <w:link w:val="NoSpacingChar"/>
    <w:uiPriority w:val="1"/>
    <w:qFormat/>
    <w:rsid w:val="00E842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4279"/>
    <w:rPr>
      <w:rFonts w:eastAsiaTheme="minorEastAsia"/>
      <w:lang w:eastAsia="ja-JP"/>
    </w:rPr>
  </w:style>
  <w:style w:type="paragraph" w:styleId="BalloonText">
    <w:name w:val="Balloon Text"/>
    <w:basedOn w:val="Normal"/>
    <w:link w:val="BalloonTextChar"/>
    <w:uiPriority w:val="99"/>
    <w:semiHidden/>
    <w:unhideWhenUsed/>
    <w:rsid w:val="00E8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opedia.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m.com" TargetMode="External"/><Relationship Id="rId5" Type="http://schemas.openxmlformats.org/officeDocument/2006/relationships/settings" Target="settings.xml"/><Relationship Id="rId15" Type="http://schemas.openxmlformats.org/officeDocument/2006/relationships/hyperlink" Target="http://www.ibm.com/smarterplanet/us/en/smart_grid/article/palmisano_gridwise_speech.html" TargetMode="External"/><Relationship Id="rId10" Type="http://schemas.openxmlformats.org/officeDocument/2006/relationships/hyperlink" Target="http://www.del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smarterplanet.com/blog/2010/04/smarter-sustainabilityold.html" TargetMode="External"/><Relationship Id="rId14" Type="http://schemas.openxmlformats.org/officeDocument/2006/relationships/hyperlink" Target="http://gigaom.com/cleantech/ibm-all-your-smart-meters-are-belong-to-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D3"/>
    <w:rsid w:val="002158F6"/>
    <w:rsid w:val="00295512"/>
    <w:rsid w:val="0057298A"/>
    <w:rsid w:val="00D35ED3"/>
    <w:rsid w:val="00D4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E6F4B9799460495325939170F2AFC">
    <w:name w:val="C78E6F4B9799460495325939170F2AFC"/>
    <w:rsid w:val="00D35ED3"/>
  </w:style>
  <w:style w:type="paragraph" w:customStyle="1" w:styleId="F0B1DE8A3DC14508B767D0E80E7875FC">
    <w:name w:val="F0B1DE8A3DC14508B767D0E80E7875FC"/>
    <w:rsid w:val="00D35ED3"/>
  </w:style>
  <w:style w:type="paragraph" w:customStyle="1" w:styleId="0EE04ED195D7417CA468BB266C467640">
    <w:name w:val="0EE04ED195D7417CA468BB266C467640"/>
    <w:rsid w:val="00D35ED3"/>
  </w:style>
  <w:style w:type="paragraph" w:customStyle="1" w:styleId="F720ED468460488383F9C3D5C0BF6D8E">
    <w:name w:val="F720ED468460488383F9C3D5C0BF6D8E"/>
    <w:rsid w:val="00D35ED3"/>
  </w:style>
  <w:style w:type="paragraph" w:customStyle="1" w:styleId="120C6F07BF754C4798AA7C2C60ED4348">
    <w:name w:val="120C6F07BF754C4798AA7C2C60ED4348"/>
    <w:rsid w:val="00D35ED3"/>
  </w:style>
  <w:style w:type="paragraph" w:customStyle="1" w:styleId="F0A30103EF4742ACA6009F842142E45B">
    <w:name w:val="F0A30103EF4742ACA6009F842142E45B"/>
    <w:rsid w:val="00D35E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E6F4B9799460495325939170F2AFC">
    <w:name w:val="C78E6F4B9799460495325939170F2AFC"/>
    <w:rsid w:val="00D35ED3"/>
  </w:style>
  <w:style w:type="paragraph" w:customStyle="1" w:styleId="F0B1DE8A3DC14508B767D0E80E7875FC">
    <w:name w:val="F0B1DE8A3DC14508B767D0E80E7875FC"/>
    <w:rsid w:val="00D35ED3"/>
  </w:style>
  <w:style w:type="paragraph" w:customStyle="1" w:styleId="0EE04ED195D7417CA468BB266C467640">
    <w:name w:val="0EE04ED195D7417CA468BB266C467640"/>
    <w:rsid w:val="00D35ED3"/>
  </w:style>
  <w:style w:type="paragraph" w:customStyle="1" w:styleId="F720ED468460488383F9C3D5C0BF6D8E">
    <w:name w:val="F720ED468460488383F9C3D5C0BF6D8E"/>
    <w:rsid w:val="00D35ED3"/>
  </w:style>
  <w:style w:type="paragraph" w:customStyle="1" w:styleId="120C6F07BF754C4798AA7C2C60ED4348">
    <w:name w:val="120C6F07BF754C4798AA7C2C60ED4348"/>
    <w:rsid w:val="00D35ED3"/>
  </w:style>
  <w:style w:type="paragraph" w:customStyle="1" w:styleId="F0A30103EF4742ACA6009F842142E45B">
    <w:name w:val="F0A30103EF4742ACA6009F842142E45B"/>
    <w:rsid w:val="00D35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2011-06-25T00:00:00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IBM</vt:lpstr>
    </vt:vector>
  </TitlesOfParts>
  <Company>Hewlett-Packard</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dc:title>
  <dc:subject>Internal Analysis</dc:subject>
  <dc:creator>Christina Nguyen</dc:creator>
  <cp:lastModifiedBy>Home</cp:lastModifiedBy>
  <cp:revision>2</cp:revision>
  <dcterms:created xsi:type="dcterms:W3CDTF">2012-07-26T15:48:00Z</dcterms:created>
  <dcterms:modified xsi:type="dcterms:W3CDTF">2012-07-26T15:48:00Z</dcterms:modified>
</cp:coreProperties>
</file>