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AD" w:rsidRPr="003A3FAD" w:rsidRDefault="00200B87" w:rsidP="003A3FAD">
      <w:pPr>
        <w:spacing w:line="480" w:lineRule="auto"/>
        <w:ind w:firstLine="720"/>
        <w:jc w:val="center"/>
        <w:rPr>
          <w:b/>
        </w:rPr>
      </w:pPr>
      <w:r>
        <w:rPr>
          <w:b/>
        </w:rPr>
        <w:t>History between</w:t>
      </w:r>
      <w:r w:rsidR="00A00DD8">
        <w:rPr>
          <w:b/>
        </w:rPr>
        <w:t xml:space="preserve"> </w:t>
      </w:r>
      <w:r w:rsidR="003A3FAD" w:rsidRPr="003A3FAD">
        <w:rPr>
          <w:b/>
        </w:rPr>
        <w:t>Egypt and the Hittites</w:t>
      </w:r>
      <w:r w:rsidR="00A00DD8">
        <w:rPr>
          <w:b/>
        </w:rPr>
        <w:t xml:space="preserve"> </w:t>
      </w:r>
    </w:p>
    <w:p w:rsidR="004B6CC1" w:rsidRDefault="00030388" w:rsidP="004F5743">
      <w:pPr>
        <w:spacing w:line="480" w:lineRule="auto"/>
        <w:ind w:firstLine="720"/>
      </w:pPr>
      <w:r>
        <w:t>In 2</w:t>
      </w:r>
      <w:r w:rsidRPr="00030388">
        <w:rPr>
          <w:vertAlign w:val="superscript"/>
        </w:rPr>
        <w:t>nd</w:t>
      </w:r>
      <w:r w:rsidR="007E1F7D">
        <w:t xml:space="preserve"> millennia BC, </w:t>
      </w:r>
      <w:r w:rsidR="00200B87">
        <w:t>the area of present day Syria would become</w:t>
      </w:r>
      <w:r w:rsidR="007E1F7D">
        <w:t xml:space="preserve"> contested </w:t>
      </w:r>
      <w:r w:rsidR="00200B87">
        <w:t>by</w:t>
      </w:r>
      <w:r>
        <w:t xml:space="preserve"> two large </w:t>
      </w:r>
      <w:r w:rsidR="004B6CC1">
        <w:t>powers</w:t>
      </w:r>
      <w:r w:rsidR="007E1F7D">
        <w:t xml:space="preserve"> of the Near East</w:t>
      </w:r>
      <w:r>
        <w:t xml:space="preserve">, New Kingdom Egypt and </w:t>
      </w:r>
      <w:r w:rsidR="003A3FAD">
        <w:t xml:space="preserve">the </w:t>
      </w:r>
      <w:r>
        <w:t xml:space="preserve">Hittites. </w:t>
      </w:r>
      <w:r w:rsidR="00471F70">
        <w:t>As this is a cour</w:t>
      </w:r>
      <w:r w:rsidR="004F5743">
        <w:t>se about Ancient Egypt</w:t>
      </w:r>
      <w:r w:rsidR="00353847">
        <w:t xml:space="preserve">, </w:t>
      </w:r>
      <w:r w:rsidR="00471F70">
        <w:t xml:space="preserve">a brief introduction </w:t>
      </w:r>
      <w:r w:rsidR="004F5743">
        <w:t xml:space="preserve">of the Hittites </w:t>
      </w:r>
      <w:r w:rsidR="00471F70">
        <w:t xml:space="preserve">is required before progressing further. </w:t>
      </w:r>
      <w:r w:rsidR="004F5743">
        <w:t>The Hittites of central Anatolia were largely forgotten in history until the early 20</w:t>
      </w:r>
      <w:r w:rsidR="004F5743" w:rsidRPr="00DF24AB">
        <w:rPr>
          <w:vertAlign w:val="superscript"/>
        </w:rPr>
        <w:t>th</w:t>
      </w:r>
      <w:r w:rsidR="004F5743">
        <w:t xml:space="preserve"> century. Early information of or concept of the Hittites is referenced in the Bible as a small Canaanite tribe living in Palestine as scholars would mistake Hittite reliefs, script, and ruins as Egyptian, Greek, or Roman. It would take till late 19</w:t>
      </w:r>
      <w:r w:rsidR="004F5743" w:rsidRPr="00D026B0">
        <w:rPr>
          <w:vertAlign w:val="superscript"/>
        </w:rPr>
        <w:t>th</w:t>
      </w:r>
      <w:r w:rsidR="004F5743">
        <w:t xml:space="preserve"> century for scholars to realize that Hittites were no</w:t>
      </w:r>
      <w:r w:rsidR="003A3FAD">
        <w:t>t a biblical tribe but a powerful kingdom</w:t>
      </w:r>
      <w:r w:rsidR="004F5743">
        <w:t xml:space="preserve"> of the Near East. </w:t>
      </w:r>
      <w:r w:rsidR="006A3304">
        <w:t>During its height from 1680BC -</w:t>
      </w:r>
      <w:r w:rsidR="004B6CC1">
        <w:t xml:space="preserve"> 1180 BC, the Hittite kingdom compromised of central Anatolia, which they called it </w:t>
      </w:r>
      <w:r w:rsidR="003A3FAD">
        <w:t>the l</w:t>
      </w:r>
      <w:r w:rsidR="004B6CC1">
        <w:t xml:space="preserve">and </w:t>
      </w:r>
      <w:r w:rsidR="003A3FAD">
        <w:t xml:space="preserve">of </w:t>
      </w:r>
      <w:proofErr w:type="spellStart"/>
      <w:r w:rsidR="004B6CC1">
        <w:t>Hatti</w:t>
      </w:r>
      <w:proofErr w:type="spellEnd"/>
      <w:r w:rsidR="004B6CC1">
        <w:t xml:space="preserve">, and </w:t>
      </w:r>
      <w:r w:rsidR="004F5743">
        <w:t xml:space="preserve">northern </w:t>
      </w:r>
      <w:r w:rsidR="004B6CC1">
        <w:t>Syria.</w:t>
      </w:r>
      <w:r w:rsidR="004F5743">
        <w:t xml:space="preserve"> History of the Hittites in placed into two phases in the Late Bronze age, the Old Kingdom from around 1700</w:t>
      </w:r>
      <w:r w:rsidR="006A3304">
        <w:t xml:space="preserve"> BC</w:t>
      </w:r>
      <w:r w:rsidR="004F5743">
        <w:t>-1400</w:t>
      </w:r>
      <w:r w:rsidR="006A3304">
        <w:t xml:space="preserve"> BC</w:t>
      </w:r>
      <w:r w:rsidR="004F5743">
        <w:t xml:space="preserve"> and New Kingdom from around 1400</w:t>
      </w:r>
      <w:r w:rsidR="006A3304">
        <w:t xml:space="preserve"> </w:t>
      </w:r>
      <w:r w:rsidR="004F5743">
        <w:t>BC-1200</w:t>
      </w:r>
      <w:r w:rsidR="006A3304">
        <w:t xml:space="preserve"> </w:t>
      </w:r>
      <w:r w:rsidR="004F5743">
        <w:t xml:space="preserve">BC which is known as the empire phase. </w:t>
      </w:r>
      <w:r w:rsidR="004B6CC1">
        <w:t xml:space="preserve"> They spoke an Indo-European language called </w:t>
      </w:r>
      <w:proofErr w:type="spellStart"/>
      <w:r w:rsidR="004B6CC1">
        <w:t>Nesite</w:t>
      </w:r>
      <w:proofErr w:type="spellEnd"/>
      <w:r w:rsidR="004B6CC1">
        <w:t xml:space="preserve"> and their ancestors may have entered in the third millennium or earlier.</w:t>
      </w:r>
      <w:r w:rsidR="004B6CC1">
        <w:rPr>
          <w:rStyle w:val="FootnoteReference"/>
        </w:rPr>
        <w:footnoteReference w:id="1"/>
      </w:r>
      <w:r w:rsidR="004F5743" w:rsidRPr="004F5743">
        <w:t xml:space="preserve"> </w:t>
      </w:r>
      <w:r w:rsidR="004F5743">
        <w:t xml:space="preserve">After years of research, the biblical Hittites had little or nothing with the Hittites Empire, or possibly referencing the Neo-Hittite or </w:t>
      </w:r>
      <w:proofErr w:type="spellStart"/>
      <w:r w:rsidR="004F5743">
        <w:t>Syro</w:t>
      </w:r>
      <w:proofErr w:type="spellEnd"/>
      <w:r w:rsidR="004F5743">
        <w:t xml:space="preserve">-kingdoms that survived after the fall of </w:t>
      </w:r>
      <w:proofErr w:type="spellStart"/>
      <w:r w:rsidR="004F5743">
        <w:t>Hatti</w:t>
      </w:r>
      <w:proofErr w:type="spellEnd"/>
      <w:r w:rsidR="004F5743">
        <w:t xml:space="preserve"> which continued to existed from 1200</w:t>
      </w:r>
      <w:r w:rsidR="006A3304">
        <w:t xml:space="preserve"> </w:t>
      </w:r>
      <w:r w:rsidR="004F5743">
        <w:t>BC-700</w:t>
      </w:r>
      <w:r w:rsidR="006A3304">
        <w:t xml:space="preserve"> </w:t>
      </w:r>
      <w:r w:rsidR="004F5743">
        <w:t xml:space="preserve">BC. </w:t>
      </w:r>
      <w:r w:rsidR="004B6CC1">
        <w:t>From their occupation from Old Kingdom age, h</w:t>
      </w:r>
      <w:r w:rsidR="004F5743">
        <w:t>oldings in Syria would be important</w:t>
      </w:r>
      <w:r w:rsidR="004B6CC1">
        <w:t xml:space="preserve"> for the Hittites for control of trade in the Near East.</w:t>
      </w:r>
      <w:r w:rsidR="004B6CC1">
        <w:rPr>
          <w:rStyle w:val="FootnoteReference"/>
        </w:rPr>
        <w:footnoteReference w:id="2"/>
      </w:r>
      <w:r w:rsidR="004B6CC1">
        <w:t xml:space="preserve"> Hittite holdings in Syria would cause tensions and war against another two Near East powers, Mitanni and New Kingdom Egypt. </w:t>
      </w:r>
    </w:p>
    <w:p w:rsidR="00F47252" w:rsidRDefault="004B6CC1" w:rsidP="00DF24AB">
      <w:pPr>
        <w:spacing w:line="480" w:lineRule="auto"/>
        <w:ind w:firstLine="720"/>
      </w:pPr>
      <w:r>
        <w:t>Beginning in 16</w:t>
      </w:r>
      <w:r w:rsidRPr="004B6CC1">
        <w:rPr>
          <w:vertAlign w:val="superscript"/>
        </w:rPr>
        <w:t>th</w:t>
      </w:r>
      <w:r>
        <w:t xml:space="preserve"> century BC, </w:t>
      </w:r>
      <w:r w:rsidR="00FE2153">
        <w:t>New Kingdom Egypt under Thutmose I and later his grandson, Thutmose III, would</w:t>
      </w:r>
      <w:r w:rsidR="00A36D31">
        <w:t xml:space="preserve"> campaign </w:t>
      </w:r>
      <w:r w:rsidR="0017126C">
        <w:t xml:space="preserve">and </w:t>
      </w:r>
      <w:r w:rsidR="00E473A3">
        <w:t xml:space="preserve">annex parts of </w:t>
      </w:r>
      <w:r w:rsidR="00A36D31">
        <w:t xml:space="preserve">southern parts </w:t>
      </w:r>
      <w:r w:rsidR="00E473A3">
        <w:t>Syria</w:t>
      </w:r>
      <w:r w:rsidR="00A36D31">
        <w:t xml:space="preserve"> along with </w:t>
      </w:r>
      <w:r w:rsidR="00A36D31">
        <w:lastRenderedPageBreak/>
        <w:t>Palestine</w:t>
      </w:r>
      <w:r w:rsidR="00F07483">
        <w:t xml:space="preserve"> while also conquering s</w:t>
      </w:r>
      <w:r w:rsidR="00AB5C25">
        <w:t>outh into Nubia</w:t>
      </w:r>
      <w:r w:rsidR="00E473A3">
        <w:t xml:space="preserve">, </w:t>
      </w:r>
      <w:r w:rsidR="00F92C45">
        <w:t xml:space="preserve">turning </w:t>
      </w:r>
      <w:r w:rsidR="00E473A3">
        <w:t>Egypt</w:t>
      </w:r>
      <w:r w:rsidR="00FE2153">
        <w:t xml:space="preserve"> </w:t>
      </w:r>
      <w:r w:rsidR="00F92C45">
        <w:t>into an</w:t>
      </w:r>
      <w:r w:rsidR="00FE2153">
        <w:t xml:space="preserve"> international power.</w:t>
      </w:r>
      <w:r w:rsidR="00FE2153">
        <w:rPr>
          <w:rStyle w:val="FootnoteReference"/>
        </w:rPr>
        <w:footnoteReference w:id="3"/>
      </w:r>
      <w:r w:rsidR="0067427A">
        <w:t xml:space="preserve"> After </w:t>
      </w:r>
      <w:r w:rsidR="00F92C45">
        <w:t xml:space="preserve">the </w:t>
      </w:r>
      <w:r w:rsidR="0067427A">
        <w:t xml:space="preserve">Thutmose III campaigns, the Eastern kingdom Mitanni </w:t>
      </w:r>
      <w:r w:rsidR="00AC5C61">
        <w:t xml:space="preserve">under </w:t>
      </w:r>
      <w:proofErr w:type="spellStart"/>
      <w:r w:rsidR="00AC5C61">
        <w:t>Saushtatar</w:t>
      </w:r>
      <w:proofErr w:type="spellEnd"/>
      <w:r w:rsidR="00AC5C61">
        <w:t xml:space="preserve"> </w:t>
      </w:r>
      <w:r w:rsidR="0067427A">
        <w:t>conquered Assyria and challenged Hittite northern Syria holdings</w:t>
      </w:r>
      <w:r w:rsidR="00E473A3">
        <w:t>. Based on</w:t>
      </w:r>
      <w:r w:rsidR="00AC5C61">
        <w:t xml:space="preserve"> little evidence available, the Hittites </w:t>
      </w:r>
      <w:r w:rsidR="00A00DD8">
        <w:t xml:space="preserve">were able to remove </w:t>
      </w:r>
      <w:r w:rsidR="00E473A3">
        <w:t xml:space="preserve">Mitanni from </w:t>
      </w:r>
      <w:r w:rsidR="00AC5C61">
        <w:t>Syria</w:t>
      </w:r>
      <w:r w:rsidR="00AB5C25">
        <w:t xml:space="preserve"> af</w:t>
      </w:r>
      <w:r w:rsidR="00F92C45">
        <w:t>ter</w:t>
      </w:r>
      <w:r w:rsidR="00400380">
        <w:t xml:space="preserve"> defeating them in </w:t>
      </w:r>
      <w:r w:rsidR="00A00DD8">
        <w:t xml:space="preserve">military </w:t>
      </w:r>
      <w:r w:rsidR="00400380">
        <w:t>campaigns</w:t>
      </w:r>
      <w:r w:rsidR="00E473A3">
        <w:t>.</w:t>
      </w:r>
      <w:r w:rsidR="00AC5C61">
        <w:rPr>
          <w:rStyle w:val="FootnoteReference"/>
        </w:rPr>
        <w:footnoteReference w:id="4"/>
      </w:r>
      <w:r w:rsidR="00AC5C61">
        <w:t xml:space="preserve">  </w:t>
      </w:r>
      <w:r w:rsidR="00291AFE">
        <w:t>After the loss</w:t>
      </w:r>
      <w:r w:rsidR="00AC5C61">
        <w:t xml:space="preserve"> of their Syrian holdings, </w:t>
      </w:r>
      <w:r w:rsidR="00291AFE">
        <w:t xml:space="preserve">the </w:t>
      </w:r>
      <w:proofErr w:type="spellStart"/>
      <w:r w:rsidR="00291AFE">
        <w:t>Saushatar’s</w:t>
      </w:r>
      <w:proofErr w:type="spellEnd"/>
      <w:r w:rsidR="00291AFE">
        <w:t xml:space="preserve"> successor and possible son, </w:t>
      </w:r>
      <w:proofErr w:type="spellStart"/>
      <w:r w:rsidR="00291AFE">
        <w:t>Artatama</w:t>
      </w:r>
      <w:proofErr w:type="spellEnd"/>
      <w:r w:rsidR="00291AFE">
        <w:t xml:space="preserve"> sought to regain their </w:t>
      </w:r>
      <w:r w:rsidR="00A00DD8">
        <w:t xml:space="preserve">Syrian </w:t>
      </w:r>
      <w:r w:rsidR="00291AFE">
        <w:t xml:space="preserve">claims by allying with another enemy </w:t>
      </w:r>
      <w:r w:rsidR="00400380">
        <w:t>and rival in Syria, Egypt. By establishing</w:t>
      </w:r>
      <w:r w:rsidR="00291AFE">
        <w:t xml:space="preserve"> a marriage alliance, a frontier boarder was established as Mitanni </w:t>
      </w:r>
      <w:r w:rsidR="00A36D31">
        <w:t xml:space="preserve">controlled northern </w:t>
      </w:r>
      <w:r w:rsidR="00AB5C25">
        <w:t xml:space="preserve">Syrian </w:t>
      </w:r>
      <w:r w:rsidR="00A36D31">
        <w:t>holdings as</w:t>
      </w:r>
      <w:r w:rsidR="00291AFE">
        <w:t xml:space="preserve"> Egypt control</w:t>
      </w:r>
      <w:r w:rsidR="00037C76">
        <w:t>led</w:t>
      </w:r>
      <w:r w:rsidR="00291AFE">
        <w:t xml:space="preserve"> </w:t>
      </w:r>
      <w:r w:rsidR="00037C76">
        <w:t xml:space="preserve">a region called </w:t>
      </w:r>
      <w:proofErr w:type="spellStart"/>
      <w:r w:rsidR="00291AFE">
        <w:t>Kadesh</w:t>
      </w:r>
      <w:proofErr w:type="spellEnd"/>
      <w:r w:rsidR="00037C76">
        <w:t xml:space="preserve">, a future site of contest between Egypt and </w:t>
      </w:r>
      <w:r w:rsidR="00400380">
        <w:t>Hittites</w:t>
      </w:r>
      <w:r w:rsidR="00037C76">
        <w:t>.</w:t>
      </w:r>
      <w:r w:rsidR="00E3178B">
        <w:rPr>
          <w:rStyle w:val="FootnoteReference"/>
        </w:rPr>
        <w:footnoteReference w:id="5"/>
      </w:r>
      <w:r w:rsidR="00E473A3">
        <w:t xml:space="preserve"> While</w:t>
      </w:r>
      <w:r w:rsidR="00200B87">
        <w:t xml:space="preserve"> this treaty may had</w:t>
      </w:r>
      <w:r w:rsidR="00E3178B">
        <w:t xml:space="preserve"> put Hittite incursions in Syria on hold, </w:t>
      </w:r>
      <w:r w:rsidR="00E473A3">
        <w:t xml:space="preserve">the </w:t>
      </w:r>
      <w:proofErr w:type="spellStart"/>
      <w:r w:rsidR="00A00DD8">
        <w:t>Kaskan</w:t>
      </w:r>
      <w:proofErr w:type="spellEnd"/>
      <w:r w:rsidR="00A00DD8">
        <w:t xml:space="preserve"> invasions from the n</w:t>
      </w:r>
      <w:r w:rsidR="00E3178B">
        <w:t xml:space="preserve">orth and </w:t>
      </w:r>
      <w:r w:rsidR="00E473A3">
        <w:t xml:space="preserve">incursions by </w:t>
      </w:r>
      <w:r w:rsidR="00A00DD8">
        <w:t>the k</w:t>
      </w:r>
      <w:r w:rsidR="00400380">
        <w:t xml:space="preserve">ingdom </w:t>
      </w:r>
      <w:r w:rsidR="00A00DD8">
        <w:t xml:space="preserve">of </w:t>
      </w:r>
      <w:proofErr w:type="spellStart"/>
      <w:r w:rsidR="00400380">
        <w:t>Arzawa</w:t>
      </w:r>
      <w:proofErr w:type="spellEnd"/>
      <w:r w:rsidR="00400380">
        <w:t xml:space="preserve"> from eastern Anatolia</w:t>
      </w:r>
      <w:r w:rsidR="00E3178B">
        <w:t xml:space="preserve"> would </w:t>
      </w:r>
      <w:r w:rsidR="00E473A3">
        <w:t>fragment</w:t>
      </w:r>
      <w:r w:rsidR="00E3178B">
        <w:t xml:space="preserve"> the Hittites for a time being.</w:t>
      </w:r>
      <w:r w:rsidR="00E3178B">
        <w:rPr>
          <w:rStyle w:val="FootnoteReference"/>
        </w:rPr>
        <w:footnoteReference w:id="6"/>
      </w:r>
    </w:p>
    <w:p w:rsidR="008528B7" w:rsidRDefault="008528B7" w:rsidP="00DF24AB">
      <w:pPr>
        <w:spacing w:line="480" w:lineRule="auto"/>
        <w:ind w:firstLine="720"/>
      </w:pPr>
      <w:r>
        <w:t>As the Hittites recovered from fragmentation</w:t>
      </w:r>
      <w:r w:rsidR="00154BAE">
        <w:t xml:space="preserve"> and successor infighting</w:t>
      </w:r>
      <w:r>
        <w:t xml:space="preserve">, the new </w:t>
      </w:r>
      <w:r w:rsidR="00E473A3">
        <w:t>Hittite king</w:t>
      </w:r>
      <w:r>
        <w:t xml:space="preserve"> Suppilu</w:t>
      </w:r>
      <w:r w:rsidR="00BE5E1F">
        <w:t xml:space="preserve">liuma </w:t>
      </w:r>
      <w:r w:rsidR="00200B87">
        <w:t xml:space="preserve">assumed the throne in 1344 BC and </w:t>
      </w:r>
      <w:r w:rsidR="00BE5E1F">
        <w:t xml:space="preserve">challenged </w:t>
      </w:r>
      <w:r w:rsidR="00400380">
        <w:t xml:space="preserve">the </w:t>
      </w:r>
      <w:r w:rsidR="00BE5E1F">
        <w:t xml:space="preserve">Mitanni as </w:t>
      </w:r>
      <w:r w:rsidR="00200B87">
        <w:t>they were</w:t>
      </w:r>
      <w:r>
        <w:t xml:space="preserve"> </w:t>
      </w:r>
      <w:r w:rsidR="00A00DD8">
        <w:t xml:space="preserve">now </w:t>
      </w:r>
      <w:r>
        <w:t>suffering from internal fighting among successors</w:t>
      </w:r>
      <w:r w:rsidR="00BE5E1F">
        <w:t xml:space="preserve"> to the</w:t>
      </w:r>
      <w:r w:rsidR="00200B87">
        <w:t xml:space="preserve"> crown</w:t>
      </w:r>
      <w:r>
        <w:t>. Despite Egypt</w:t>
      </w:r>
      <w:r w:rsidR="00400380">
        <w:t>’s</w:t>
      </w:r>
      <w:r>
        <w:t xml:space="preserve"> weaken power </w:t>
      </w:r>
      <w:r w:rsidR="0017126C">
        <w:t xml:space="preserve">over Syria under </w:t>
      </w:r>
      <w:proofErr w:type="gramStart"/>
      <w:r w:rsidR="0017126C">
        <w:t>Akhenaten,</w:t>
      </w:r>
      <w:proofErr w:type="gramEnd"/>
      <w:r w:rsidR="0017126C">
        <w:t xml:space="preserve"> they</w:t>
      </w:r>
      <w:r>
        <w:t xml:space="preserve"> still </w:t>
      </w:r>
      <w:r w:rsidR="0017126C">
        <w:t xml:space="preserve">were a threat </w:t>
      </w:r>
      <w:r w:rsidR="00A00DD8">
        <w:t xml:space="preserve">to Suppiluliuma </w:t>
      </w:r>
      <w:r w:rsidR="0017126C">
        <w:t xml:space="preserve">as they </w:t>
      </w:r>
      <w:r>
        <w:t>control</w:t>
      </w:r>
      <w:r w:rsidR="0017126C">
        <w:t>led the southern Syria and Palestine</w:t>
      </w:r>
      <w:r>
        <w:t xml:space="preserve">. </w:t>
      </w:r>
      <w:proofErr w:type="spellStart"/>
      <w:r>
        <w:t>Suppiluliuma</w:t>
      </w:r>
      <w:r w:rsidR="00BE5E1F">
        <w:t>’s</w:t>
      </w:r>
      <w:proofErr w:type="spellEnd"/>
      <w:r>
        <w:t xml:space="preserve"> </w:t>
      </w:r>
      <w:r w:rsidR="004B1AF4">
        <w:t>objective</w:t>
      </w:r>
      <w:r>
        <w:t xml:space="preserve"> </w:t>
      </w:r>
      <w:r w:rsidR="004B1AF4">
        <w:t>while</w:t>
      </w:r>
      <w:r w:rsidR="00BE5E1F">
        <w:t xml:space="preserve"> fighting the Mitanni </w:t>
      </w:r>
      <w:r>
        <w:t>was to keep Egypt from aiding t</w:t>
      </w:r>
      <w:r w:rsidR="00BE5E1F">
        <w:t>heir</w:t>
      </w:r>
      <w:r w:rsidR="00F92C45">
        <w:t xml:space="preserve"> ally as e</w:t>
      </w:r>
      <w:r w:rsidR="00AB5C25">
        <w:t>vidence of correspondence</w:t>
      </w:r>
      <w:r w:rsidR="00BE5E1F">
        <w:t xml:space="preserve"> between Suppiluliuma and</w:t>
      </w:r>
      <w:r>
        <w:t xml:space="preserve"> Akhenaten </w:t>
      </w:r>
      <w:r w:rsidR="00BE5E1F">
        <w:t>con</w:t>
      </w:r>
      <w:r w:rsidR="00AB5C25">
        <w:t xml:space="preserve">sists of Suppiluliuma trying </w:t>
      </w:r>
      <w:r w:rsidR="00DA5762">
        <w:t xml:space="preserve">to </w:t>
      </w:r>
      <w:r w:rsidR="00AB5C25">
        <w:t xml:space="preserve">convince </w:t>
      </w:r>
      <w:r w:rsidR="002E65E1">
        <w:t>Akhenaten</w:t>
      </w:r>
      <w:r w:rsidR="00AB5C25">
        <w:t xml:space="preserve"> not to</w:t>
      </w:r>
      <w:r w:rsidR="00BE5E1F">
        <w:t xml:space="preserve"> </w:t>
      </w:r>
      <w:r w:rsidR="00F92C45">
        <w:t>intervene</w:t>
      </w:r>
      <w:r>
        <w:t>.</w:t>
      </w:r>
      <w:r w:rsidR="00BE5E1F">
        <w:rPr>
          <w:rStyle w:val="FootnoteReference"/>
        </w:rPr>
        <w:footnoteReference w:id="7"/>
      </w:r>
      <w:r w:rsidR="00FD31C2">
        <w:t xml:space="preserve"> As Suppiluliuma was conquering Mitanni h</w:t>
      </w:r>
      <w:r w:rsidR="009607DD">
        <w:t>oldings we</w:t>
      </w:r>
      <w:r w:rsidR="003A7E95">
        <w:t>st of the Euphrates, they ended up conquering</w:t>
      </w:r>
      <w:r w:rsidR="009607DD">
        <w:t xml:space="preserve"> </w:t>
      </w:r>
      <w:r w:rsidR="006A3304">
        <w:t xml:space="preserve">the Egyptian vassal of </w:t>
      </w:r>
      <w:proofErr w:type="spellStart"/>
      <w:r w:rsidR="005C15C8">
        <w:t>Ka</w:t>
      </w:r>
      <w:r w:rsidR="009607DD">
        <w:t>desh</w:t>
      </w:r>
      <w:proofErr w:type="spellEnd"/>
      <w:r w:rsidR="00AB5C25">
        <w:t>.  The H</w:t>
      </w:r>
      <w:r w:rsidR="00FD31C2">
        <w:t>ittite occu</w:t>
      </w:r>
      <w:r w:rsidR="00AB5C25">
        <w:t>pation of the previous Egyptian vassal</w:t>
      </w:r>
      <w:r w:rsidR="00FD31C2">
        <w:t xml:space="preserve"> would lead to future </w:t>
      </w:r>
      <w:r w:rsidR="00C070DF">
        <w:t>hostilities</w:t>
      </w:r>
      <w:r w:rsidR="00154BAE">
        <w:t xml:space="preserve"> </w:t>
      </w:r>
      <w:r w:rsidR="003A7E95">
        <w:t xml:space="preserve">and violence </w:t>
      </w:r>
      <w:r w:rsidR="00154BAE">
        <w:t xml:space="preserve">as Egypt failed to take the city </w:t>
      </w:r>
      <w:r w:rsidR="006A3304">
        <w:t xml:space="preserve">militarily </w:t>
      </w:r>
      <w:r w:rsidR="00154BAE">
        <w:t xml:space="preserve">and marriage </w:t>
      </w:r>
      <w:r w:rsidR="00154BAE">
        <w:lastRenderedPageBreak/>
        <w:t xml:space="preserve">proposal between Egyptian queen </w:t>
      </w:r>
      <w:proofErr w:type="spellStart"/>
      <w:r w:rsidR="00154BAE">
        <w:t>Ankhesenamun</w:t>
      </w:r>
      <w:proofErr w:type="spellEnd"/>
      <w:r w:rsidR="00154BAE">
        <w:t xml:space="preserve">, </w:t>
      </w:r>
      <w:proofErr w:type="spellStart"/>
      <w:r w:rsidR="00154BAE">
        <w:t>Tutankhamun’s</w:t>
      </w:r>
      <w:proofErr w:type="spellEnd"/>
      <w:r w:rsidR="00154BAE">
        <w:t xml:space="preserve"> widow</w:t>
      </w:r>
      <w:r w:rsidR="006A3304">
        <w:t>,</w:t>
      </w:r>
      <w:r w:rsidR="00154BAE">
        <w:t xml:space="preserve"> and </w:t>
      </w:r>
      <w:proofErr w:type="spellStart"/>
      <w:r w:rsidR="00C070DF">
        <w:t>Suppilumiluma’s</w:t>
      </w:r>
      <w:proofErr w:type="spellEnd"/>
      <w:r w:rsidR="00C070DF">
        <w:t xml:space="preserve"> son fell through as</w:t>
      </w:r>
      <w:r w:rsidR="00AB5C25">
        <w:t xml:space="preserve"> the</w:t>
      </w:r>
      <w:r w:rsidR="00C070DF">
        <w:t xml:space="preserve"> </w:t>
      </w:r>
      <w:proofErr w:type="spellStart"/>
      <w:r w:rsidR="00C070DF">
        <w:t>Hatti</w:t>
      </w:r>
      <w:proofErr w:type="spellEnd"/>
      <w:r w:rsidR="00C070DF">
        <w:t xml:space="preserve"> prince was </w:t>
      </w:r>
      <w:r w:rsidR="00AB5C25">
        <w:t>murder on route to Egypt</w:t>
      </w:r>
      <w:r w:rsidR="00BE5E1F">
        <w:t>.</w:t>
      </w:r>
      <w:r w:rsidR="00154BAE">
        <w:rPr>
          <w:rStyle w:val="FootnoteReference"/>
        </w:rPr>
        <w:footnoteReference w:id="8"/>
      </w:r>
      <w:r w:rsidR="00FD31C2">
        <w:t xml:space="preserve"> </w:t>
      </w:r>
      <w:r w:rsidR="00AB5C25">
        <w:t xml:space="preserve">It is believed that </w:t>
      </w:r>
      <w:r w:rsidR="003A7E95">
        <w:t>Egyptians</w:t>
      </w:r>
      <w:r w:rsidR="00AB5C25">
        <w:t xml:space="preserve"> that Hittites captured</w:t>
      </w:r>
      <w:r w:rsidR="00C070DF">
        <w:t xml:space="preserve"> and tran</w:t>
      </w:r>
      <w:r w:rsidR="003A7E95">
        <w:t xml:space="preserve">sported to </w:t>
      </w:r>
      <w:proofErr w:type="spellStart"/>
      <w:r w:rsidR="003A7E95">
        <w:t>Hatti</w:t>
      </w:r>
      <w:proofErr w:type="spellEnd"/>
      <w:r w:rsidR="003A7E95">
        <w:t xml:space="preserve"> carried</w:t>
      </w:r>
      <w:r w:rsidR="00AB5C25">
        <w:t xml:space="preserve"> disease that plague</w:t>
      </w:r>
      <w:r w:rsidR="003A7E95">
        <w:t>d</w:t>
      </w:r>
      <w:r w:rsidR="00C070DF">
        <w:t xml:space="preserve"> </w:t>
      </w:r>
      <w:r w:rsidR="00AB5C25">
        <w:t>the Hittite homeland which killed</w:t>
      </w:r>
      <w:r w:rsidR="00C070DF">
        <w:t xml:space="preserve"> Suppiluliuma and his</w:t>
      </w:r>
      <w:r w:rsidR="00FC23AE">
        <w:t xml:space="preserve"> successor</w:t>
      </w:r>
      <w:r w:rsidR="00024196">
        <w:t xml:space="preserve">, </w:t>
      </w:r>
      <w:r w:rsidR="00200B87">
        <w:t>putting</w:t>
      </w:r>
      <w:r w:rsidR="00024196">
        <w:t xml:space="preserve"> </w:t>
      </w:r>
      <w:proofErr w:type="spellStart"/>
      <w:r w:rsidR="00024196">
        <w:t>Mursili</w:t>
      </w:r>
      <w:proofErr w:type="spellEnd"/>
      <w:r w:rsidR="00024196">
        <w:t xml:space="preserve"> on the thron</w:t>
      </w:r>
      <w:r w:rsidR="007850A1">
        <w:t>e</w:t>
      </w:r>
      <w:r w:rsidR="00024196">
        <w:t xml:space="preserve"> in 1321</w:t>
      </w:r>
      <w:r w:rsidR="006A3304">
        <w:t xml:space="preserve"> </w:t>
      </w:r>
      <w:r w:rsidR="00024196">
        <w:t>BC</w:t>
      </w:r>
      <w:r w:rsidR="00FC23AE">
        <w:t>.</w:t>
      </w:r>
      <w:r w:rsidR="00FC23AE">
        <w:rPr>
          <w:rStyle w:val="FootnoteReference"/>
        </w:rPr>
        <w:footnoteReference w:id="9"/>
      </w:r>
      <w:r w:rsidR="00C070DF">
        <w:t xml:space="preserve"> </w:t>
      </w:r>
      <w:r w:rsidR="00FD31C2">
        <w:t xml:space="preserve"> </w:t>
      </w:r>
      <w:r w:rsidR="003A7E95">
        <w:t>As stated before</w:t>
      </w:r>
      <w:r w:rsidR="007850A1">
        <w:t xml:space="preserve">, Egypt itself was going through its decline of Akhenaten </w:t>
      </w:r>
      <w:r w:rsidR="005C15C8">
        <w:t>and political instability of his</w:t>
      </w:r>
      <w:r w:rsidR="007850A1">
        <w:t xml:space="preserve"> and </w:t>
      </w:r>
      <w:r w:rsidR="005C15C8">
        <w:t xml:space="preserve">his </w:t>
      </w:r>
      <w:r w:rsidR="007850A1">
        <w:t>son</w:t>
      </w:r>
      <w:r w:rsidR="005C15C8">
        <w:t>’s</w:t>
      </w:r>
      <w:r w:rsidR="003A7E95">
        <w:t>,</w:t>
      </w:r>
      <w:r w:rsidR="005C15C8">
        <w:t xml:space="preserve"> </w:t>
      </w:r>
      <w:r w:rsidR="003A7E95">
        <w:t xml:space="preserve">Tutankhamen, </w:t>
      </w:r>
      <w:r w:rsidR="005C15C8">
        <w:t>rule</w:t>
      </w:r>
      <w:r w:rsidR="007850A1">
        <w:t xml:space="preserve">. Thus both powers were under </w:t>
      </w:r>
      <w:r w:rsidR="005C15C8">
        <w:t xml:space="preserve">too much </w:t>
      </w:r>
      <w:r w:rsidR="00011EF5">
        <w:t>internal</w:t>
      </w:r>
      <w:r w:rsidR="007850A1">
        <w:t xml:space="preserve"> un</w:t>
      </w:r>
      <w:r w:rsidR="005C15C8">
        <w:t>rest for a major confrontation</w:t>
      </w:r>
      <w:r w:rsidR="007850A1">
        <w:t xml:space="preserve">.  </w:t>
      </w:r>
      <w:r w:rsidR="007850A1" w:rsidRPr="00847B83">
        <w:t xml:space="preserve">   </w:t>
      </w:r>
      <w:r>
        <w:t xml:space="preserve">   </w:t>
      </w:r>
    </w:p>
    <w:p w:rsidR="00802B24" w:rsidRDefault="00802B24" w:rsidP="00DF24AB">
      <w:pPr>
        <w:spacing w:line="480" w:lineRule="auto"/>
        <w:ind w:firstLine="720"/>
      </w:pPr>
      <w:r>
        <w:t xml:space="preserve">When </w:t>
      </w:r>
      <w:proofErr w:type="spellStart"/>
      <w:r>
        <w:t>Muwattalli</w:t>
      </w:r>
      <w:proofErr w:type="spellEnd"/>
      <w:r>
        <w:t xml:space="preserve"> assumed rule of the Hittites after </w:t>
      </w:r>
      <w:r w:rsidR="00024196">
        <w:t>his father</w:t>
      </w:r>
      <w:r w:rsidR="00FF6AAA">
        <w:t xml:space="preserve">’s, </w:t>
      </w:r>
      <w:proofErr w:type="spellStart"/>
      <w:r w:rsidR="00FF6AAA">
        <w:t>Mursili</w:t>
      </w:r>
      <w:proofErr w:type="spellEnd"/>
      <w:r w:rsidR="00FF6AAA">
        <w:t xml:space="preserve">, </w:t>
      </w:r>
      <w:r w:rsidR="00024196">
        <w:t>death</w:t>
      </w:r>
      <w:r w:rsidR="00FF6AAA">
        <w:t xml:space="preserve"> </w:t>
      </w:r>
      <w:r>
        <w:t>in 1295 B</w:t>
      </w:r>
      <w:r w:rsidR="00242BDA">
        <w:t>C,</w:t>
      </w:r>
      <w:r>
        <w:t xml:space="preserve"> his biggest threat </w:t>
      </w:r>
      <w:r w:rsidR="00FF6AAA">
        <w:t>he face</w:t>
      </w:r>
      <w:r w:rsidR="006A3304">
        <w:t>d</w:t>
      </w:r>
      <w:r w:rsidR="00FF6AAA">
        <w:t xml:space="preserve"> </w:t>
      </w:r>
      <w:r>
        <w:t xml:space="preserve">was the reemergence of Egypt as a rival. The instability of post </w:t>
      </w:r>
      <w:proofErr w:type="spellStart"/>
      <w:r>
        <w:t>Amarna</w:t>
      </w:r>
      <w:proofErr w:type="spellEnd"/>
      <w:r>
        <w:t xml:space="preserve"> period allowed Hittites to remain uncontested </w:t>
      </w:r>
      <w:r w:rsidR="00011EF5">
        <w:t xml:space="preserve">in Syria </w:t>
      </w:r>
      <w:r>
        <w:t xml:space="preserve">until </w:t>
      </w:r>
      <w:r w:rsidR="00484E7B">
        <w:t>the late 18</w:t>
      </w:r>
      <w:r w:rsidR="00484E7B" w:rsidRPr="00484E7B">
        <w:rPr>
          <w:vertAlign w:val="superscript"/>
        </w:rPr>
        <w:t>th</w:t>
      </w:r>
      <w:r w:rsidR="00484E7B">
        <w:t xml:space="preserve"> dynasty ruler, </w:t>
      </w:r>
      <w:proofErr w:type="spellStart"/>
      <w:r w:rsidR="00484E7B">
        <w:t>Horemheb</w:t>
      </w:r>
      <w:proofErr w:type="spellEnd"/>
      <w:r w:rsidR="00484E7B">
        <w:t>, organized a</w:t>
      </w:r>
      <w:r w:rsidR="006A3304">
        <w:t>n</w:t>
      </w:r>
      <w:r w:rsidR="00484E7B">
        <w:t xml:space="preserve"> expeditionary force to support a rebellion against Hittite</w:t>
      </w:r>
      <w:r w:rsidR="0015595D">
        <w:t xml:space="preserve"> rule</w:t>
      </w:r>
      <w:r w:rsidR="00484E7B">
        <w:t xml:space="preserve"> in </w:t>
      </w:r>
      <w:proofErr w:type="spellStart"/>
      <w:r w:rsidR="00484E7B">
        <w:t>Nuhashsi</w:t>
      </w:r>
      <w:proofErr w:type="spellEnd"/>
      <w:r w:rsidR="00A57B13">
        <w:t>. H</w:t>
      </w:r>
      <w:r w:rsidR="00592704">
        <w:t>owever,</w:t>
      </w:r>
      <w:r w:rsidR="006A3304">
        <w:t xml:space="preserve"> </w:t>
      </w:r>
      <w:proofErr w:type="spellStart"/>
      <w:r w:rsidR="006A3304">
        <w:t>Horemheb</w:t>
      </w:r>
      <w:proofErr w:type="spellEnd"/>
      <w:r w:rsidR="00847B83">
        <w:t xml:space="preserve"> was more focused</w:t>
      </w:r>
      <w:r w:rsidR="00847B83" w:rsidRPr="00847B83">
        <w:t xml:space="preserve"> </w:t>
      </w:r>
      <w:r w:rsidR="00847B83">
        <w:t xml:space="preserve">on </w:t>
      </w:r>
      <w:r w:rsidR="00847B83" w:rsidRPr="00847B83">
        <w:t xml:space="preserve">reunifying Egypt </w:t>
      </w:r>
      <w:r w:rsidR="00592704">
        <w:t>and strengthening central power than giving support to the rebellion. Despite the rebellion</w:t>
      </w:r>
      <w:r w:rsidR="00484E7B">
        <w:t xml:space="preserve"> being a failure, it mark</w:t>
      </w:r>
      <w:r w:rsidR="00592704">
        <w:t>ed</w:t>
      </w:r>
      <w:r w:rsidR="00484E7B">
        <w:t xml:space="preserve"> </w:t>
      </w:r>
      <w:r w:rsidR="00592704">
        <w:t xml:space="preserve">renew </w:t>
      </w:r>
      <w:r w:rsidR="00484E7B">
        <w:t>Egyptian</w:t>
      </w:r>
      <w:r w:rsidR="00FF713E">
        <w:t xml:space="preserve"> interest in Syria</w:t>
      </w:r>
      <w:r w:rsidR="00484E7B">
        <w:t xml:space="preserve"> to </w:t>
      </w:r>
      <w:proofErr w:type="spellStart"/>
      <w:r w:rsidR="00484E7B">
        <w:t>Muwattalli</w:t>
      </w:r>
      <w:r w:rsidR="00FF713E">
        <w:t>’s</w:t>
      </w:r>
      <w:proofErr w:type="spellEnd"/>
      <w:r w:rsidR="00484E7B">
        <w:t xml:space="preserve"> dismay as </w:t>
      </w:r>
      <w:proofErr w:type="spellStart"/>
      <w:r w:rsidR="00484E7B">
        <w:t>Kaskan</w:t>
      </w:r>
      <w:proofErr w:type="spellEnd"/>
      <w:r w:rsidR="00484E7B">
        <w:t xml:space="preserve"> groups threaten </w:t>
      </w:r>
      <w:proofErr w:type="spellStart"/>
      <w:r w:rsidR="00484E7B">
        <w:t>Hattusa</w:t>
      </w:r>
      <w:proofErr w:type="spellEnd"/>
      <w:r w:rsidR="00484E7B">
        <w:t xml:space="preserve"> from the north</w:t>
      </w:r>
      <w:r w:rsidR="00484E7B" w:rsidRPr="00847B83">
        <w:t>.</w:t>
      </w:r>
      <w:r w:rsidR="00484E7B" w:rsidRPr="00847B83">
        <w:rPr>
          <w:rStyle w:val="FootnoteReference"/>
        </w:rPr>
        <w:footnoteReference w:id="10"/>
      </w:r>
      <w:r w:rsidR="00484E7B" w:rsidRPr="00847B83">
        <w:t xml:space="preserve"> </w:t>
      </w:r>
      <w:r w:rsidR="00847B83">
        <w:t xml:space="preserve">As </w:t>
      </w:r>
      <w:proofErr w:type="spellStart"/>
      <w:r w:rsidR="00847B83">
        <w:t>Horemheb</w:t>
      </w:r>
      <w:proofErr w:type="spellEnd"/>
      <w:r w:rsidR="00847B83">
        <w:t xml:space="preserve"> was childless, his vizier, </w:t>
      </w:r>
      <w:proofErr w:type="spellStart"/>
      <w:r w:rsidR="00847B83">
        <w:t>Pramesse</w:t>
      </w:r>
      <w:proofErr w:type="spellEnd"/>
      <w:r w:rsidR="00847B83">
        <w:t xml:space="preserve"> became his successor after </w:t>
      </w:r>
      <w:proofErr w:type="spellStart"/>
      <w:r w:rsidR="00847B83">
        <w:t>Horemheb</w:t>
      </w:r>
      <w:proofErr w:type="spellEnd"/>
      <w:r w:rsidR="00847B83">
        <w:t xml:space="preserve"> death in 1295 BC and ascended the throne as </w:t>
      </w:r>
      <w:proofErr w:type="spellStart"/>
      <w:r w:rsidR="00847B83">
        <w:t>Ramesses</w:t>
      </w:r>
      <w:proofErr w:type="spellEnd"/>
      <w:r w:rsidR="00847B83">
        <w:t xml:space="preserve"> I, the beginning the 19</w:t>
      </w:r>
      <w:r w:rsidR="00847B83" w:rsidRPr="00847B83">
        <w:rPr>
          <w:vertAlign w:val="superscript"/>
        </w:rPr>
        <w:t>th</w:t>
      </w:r>
      <w:r w:rsidR="00847B83">
        <w:t xml:space="preserve"> or the </w:t>
      </w:r>
      <w:proofErr w:type="spellStart"/>
      <w:r w:rsidR="00847B83">
        <w:t>Ramess</w:t>
      </w:r>
      <w:r w:rsidR="00A57B13">
        <w:t>ide</w:t>
      </w:r>
      <w:proofErr w:type="spellEnd"/>
      <w:r w:rsidR="00A57B13">
        <w:t xml:space="preserve"> period</w:t>
      </w:r>
      <w:r w:rsidR="00847B83">
        <w:t>. After a year</w:t>
      </w:r>
      <w:r w:rsidR="00A57B13">
        <w:t xml:space="preserve"> of rule</w:t>
      </w:r>
      <w:r w:rsidR="00847B83">
        <w:t xml:space="preserve">, </w:t>
      </w:r>
      <w:proofErr w:type="spellStart"/>
      <w:r w:rsidR="00847B83">
        <w:t>Ramesse</w:t>
      </w:r>
      <w:proofErr w:type="spellEnd"/>
      <w:r w:rsidR="00847B83">
        <w:t xml:space="preserve"> I died and his son </w:t>
      </w:r>
      <w:proofErr w:type="spellStart"/>
      <w:r w:rsidR="00847B83">
        <w:t>Seti</w:t>
      </w:r>
      <w:proofErr w:type="spellEnd"/>
      <w:r w:rsidR="00847B83">
        <w:t xml:space="preserve"> </w:t>
      </w:r>
      <w:r w:rsidR="0015595D">
        <w:t xml:space="preserve">I assumed the throne. </w:t>
      </w:r>
      <w:proofErr w:type="spellStart"/>
      <w:r w:rsidR="0015595D">
        <w:t>Seti</w:t>
      </w:r>
      <w:proofErr w:type="spellEnd"/>
      <w:r w:rsidR="0015595D">
        <w:t xml:space="preserve">, influenced by </w:t>
      </w:r>
      <w:proofErr w:type="spellStart"/>
      <w:r w:rsidR="00847B83">
        <w:t>Tuthmosis</w:t>
      </w:r>
      <w:proofErr w:type="spellEnd"/>
      <w:r w:rsidR="00847B83">
        <w:t xml:space="preserve"> III, believe</w:t>
      </w:r>
      <w:r w:rsidR="00A57B13">
        <w:t>d</w:t>
      </w:r>
      <w:r w:rsidR="00847B83">
        <w:t xml:space="preserve"> Egypt need</w:t>
      </w:r>
      <w:r w:rsidR="00DA5762">
        <w:t>ed</w:t>
      </w:r>
      <w:r w:rsidR="00847B83">
        <w:t xml:space="preserve"> to gain authority in Syria to renew its political and military power. </w:t>
      </w:r>
      <w:r w:rsidR="00847B83">
        <w:rPr>
          <w:rStyle w:val="FootnoteReference"/>
        </w:rPr>
        <w:footnoteReference w:id="11"/>
      </w:r>
      <w:r w:rsidR="00242BDA">
        <w:t xml:space="preserve"> According to battles</w:t>
      </w:r>
      <w:r w:rsidR="00847B83">
        <w:t xml:space="preserve"> scenes at the Hypostyle Hall at Karnak, after </w:t>
      </w:r>
      <w:proofErr w:type="spellStart"/>
      <w:r w:rsidR="00847B83">
        <w:t>Seti</w:t>
      </w:r>
      <w:proofErr w:type="spellEnd"/>
      <w:r w:rsidR="00847B83">
        <w:t xml:space="preserve"> I restored </w:t>
      </w:r>
      <w:r w:rsidR="00242BDA">
        <w:t xml:space="preserve">Egyptian </w:t>
      </w:r>
      <w:r w:rsidR="00847B83">
        <w:t>authority in Canaan and Palestine</w:t>
      </w:r>
      <w:r w:rsidR="00917D7F">
        <w:t xml:space="preserve">, he prepared for </w:t>
      </w:r>
      <w:r w:rsidR="006A3304">
        <w:t xml:space="preserve">the </w:t>
      </w:r>
      <w:proofErr w:type="spellStart"/>
      <w:r w:rsidR="00917D7F">
        <w:t>reconquest</w:t>
      </w:r>
      <w:proofErr w:type="spellEnd"/>
      <w:r w:rsidR="00917D7F">
        <w:t xml:space="preserve"> of the kingdoms </w:t>
      </w:r>
      <w:r w:rsidR="00A57B13">
        <w:t xml:space="preserve">and former vassals </w:t>
      </w:r>
      <w:r w:rsidR="00917D7F">
        <w:t>o</w:t>
      </w:r>
      <w:r w:rsidR="00242BDA">
        <w:t xml:space="preserve">f </w:t>
      </w:r>
      <w:proofErr w:type="spellStart"/>
      <w:r w:rsidR="00242BDA">
        <w:t>Kadesh</w:t>
      </w:r>
      <w:proofErr w:type="spellEnd"/>
      <w:r w:rsidR="00242BDA">
        <w:t xml:space="preserve"> and </w:t>
      </w:r>
      <w:proofErr w:type="spellStart"/>
      <w:r w:rsidR="006A3304">
        <w:t>Amurru</w:t>
      </w:r>
      <w:proofErr w:type="spellEnd"/>
      <w:r w:rsidR="006A3304">
        <w:t xml:space="preserve"> that were under Hittite rule</w:t>
      </w:r>
      <w:r w:rsidR="00847B83">
        <w:t xml:space="preserve">. </w:t>
      </w:r>
      <w:r w:rsidR="00917D7F">
        <w:t xml:space="preserve">As </w:t>
      </w:r>
      <w:proofErr w:type="spellStart"/>
      <w:r w:rsidR="00917D7F">
        <w:t>Seti</w:t>
      </w:r>
      <w:proofErr w:type="spellEnd"/>
      <w:r w:rsidR="00917D7F">
        <w:t xml:space="preserve"> </w:t>
      </w:r>
      <w:r w:rsidR="00917D7F">
        <w:lastRenderedPageBreak/>
        <w:t xml:space="preserve">conquered the two kingdoms, </w:t>
      </w:r>
      <w:proofErr w:type="spellStart"/>
      <w:r w:rsidR="00917D7F">
        <w:t>Hatti</w:t>
      </w:r>
      <w:proofErr w:type="spellEnd"/>
      <w:r w:rsidR="00917D7F">
        <w:t xml:space="preserve"> t</w:t>
      </w:r>
      <w:r w:rsidR="006A3304">
        <w:t>ook it as declaration of war that</w:t>
      </w:r>
      <w:r w:rsidR="00917D7F">
        <w:t xml:space="preserve"> challenged Hittite authority in Syria. As </w:t>
      </w:r>
      <w:proofErr w:type="spellStart"/>
      <w:r w:rsidR="00917D7F">
        <w:t>Muwattalli</w:t>
      </w:r>
      <w:proofErr w:type="spellEnd"/>
      <w:r w:rsidR="00917D7F">
        <w:t xml:space="preserve"> was </w:t>
      </w:r>
      <w:r w:rsidR="006A3304">
        <w:t>preoccupied</w:t>
      </w:r>
      <w:r w:rsidR="00917D7F">
        <w:t xml:space="preserve"> with internal tensions</w:t>
      </w:r>
      <w:r w:rsidR="006A3304">
        <w:t xml:space="preserve"> within his kingdom</w:t>
      </w:r>
      <w:r w:rsidR="00917D7F">
        <w:t xml:space="preserve">, he could not swiftly mount a counterattack, allowing </w:t>
      </w:r>
      <w:proofErr w:type="spellStart"/>
      <w:r w:rsidR="00917D7F">
        <w:t>Seti</w:t>
      </w:r>
      <w:proofErr w:type="spellEnd"/>
      <w:r w:rsidR="00917D7F">
        <w:t xml:space="preserve"> I to </w:t>
      </w:r>
      <w:r w:rsidR="00242BDA">
        <w:t xml:space="preserve">turn around and </w:t>
      </w:r>
      <w:r w:rsidR="00917D7F">
        <w:t xml:space="preserve">conduct a campaign against the Libyans. </w:t>
      </w:r>
      <w:r w:rsidR="002306F0">
        <w:t xml:space="preserve">As </w:t>
      </w:r>
      <w:proofErr w:type="spellStart"/>
      <w:r w:rsidR="002306F0">
        <w:t>Seti</w:t>
      </w:r>
      <w:proofErr w:type="spellEnd"/>
      <w:r w:rsidR="002306F0">
        <w:t xml:space="preserve"> I returned </w:t>
      </w:r>
      <w:r w:rsidR="00A57B13">
        <w:t xml:space="preserve">to Syria </w:t>
      </w:r>
      <w:r w:rsidR="006A3304">
        <w:t xml:space="preserve">and </w:t>
      </w:r>
      <w:proofErr w:type="spellStart"/>
      <w:r w:rsidR="006A3304">
        <w:t>Muwattalli</w:t>
      </w:r>
      <w:proofErr w:type="spellEnd"/>
      <w:r w:rsidR="006A3304">
        <w:t xml:space="preserve"> was </w:t>
      </w:r>
      <w:r w:rsidR="002306F0">
        <w:t xml:space="preserve">ready to fight, it is believed that the Egyptians and Hittites fought in the region of </w:t>
      </w:r>
      <w:proofErr w:type="spellStart"/>
      <w:r w:rsidR="002306F0">
        <w:t>Kadesh</w:t>
      </w:r>
      <w:proofErr w:type="spellEnd"/>
      <w:r w:rsidR="002306F0">
        <w:t xml:space="preserve"> which </w:t>
      </w:r>
      <w:proofErr w:type="spellStart"/>
      <w:r w:rsidR="002306F0">
        <w:t>Seti</w:t>
      </w:r>
      <w:proofErr w:type="spellEnd"/>
      <w:r w:rsidR="002306F0">
        <w:t xml:space="preserve"> I was victor due to amount of Hittite prisoners obtained</w:t>
      </w:r>
      <w:r w:rsidR="00A57B13">
        <w:t xml:space="preserve"> according to</w:t>
      </w:r>
      <w:r w:rsidR="00242BDA">
        <w:t xml:space="preserve"> ancient texts</w:t>
      </w:r>
      <w:r w:rsidR="002306F0">
        <w:t>.</w:t>
      </w:r>
      <w:r w:rsidR="002306F0">
        <w:rPr>
          <w:rStyle w:val="FootnoteReference"/>
        </w:rPr>
        <w:footnoteReference w:id="12"/>
      </w:r>
      <w:r w:rsidR="002306F0">
        <w:t xml:space="preserve"> If </w:t>
      </w:r>
      <w:proofErr w:type="spellStart"/>
      <w:r w:rsidR="002306F0">
        <w:t>Muwattalli</w:t>
      </w:r>
      <w:proofErr w:type="spellEnd"/>
      <w:r w:rsidR="002306F0">
        <w:t xml:space="preserve"> and </w:t>
      </w:r>
      <w:proofErr w:type="spellStart"/>
      <w:r w:rsidR="002306F0">
        <w:t>Seti</w:t>
      </w:r>
      <w:proofErr w:type="spellEnd"/>
      <w:r w:rsidR="002306F0">
        <w:t xml:space="preserve"> settled for a treaty or not, both sides</w:t>
      </w:r>
      <w:r w:rsidR="00917D7F">
        <w:t xml:space="preserve"> </w:t>
      </w:r>
      <w:r w:rsidR="002306F0">
        <w:t xml:space="preserve">had a period of peace as </w:t>
      </w:r>
      <w:proofErr w:type="spellStart"/>
      <w:r w:rsidR="002306F0">
        <w:t>Muwattalli</w:t>
      </w:r>
      <w:proofErr w:type="spellEnd"/>
      <w:r w:rsidR="002306F0">
        <w:t xml:space="preserve"> reorganized his kingdom, transferring the capital from </w:t>
      </w:r>
      <w:proofErr w:type="spellStart"/>
      <w:r w:rsidR="002306F0">
        <w:t>Hattusa</w:t>
      </w:r>
      <w:proofErr w:type="spellEnd"/>
      <w:r w:rsidR="002306F0">
        <w:t xml:space="preserve"> to southern </w:t>
      </w:r>
      <w:proofErr w:type="spellStart"/>
      <w:r w:rsidR="002306F0">
        <w:t>Tarhuntassa</w:t>
      </w:r>
      <w:proofErr w:type="spellEnd"/>
      <w:r w:rsidR="002306F0">
        <w:t xml:space="preserve"> in the </w:t>
      </w:r>
      <w:proofErr w:type="spellStart"/>
      <w:r w:rsidR="002306F0">
        <w:t>Cilica</w:t>
      </w:r>
      <w:proofErr w:type="spellEnd"/>
      <w:r w:rsidR="002306F0">
        <w:t xml:space="preserve"> region. Despite it being unpopular among the </w:t>
      </w:r>
      <w:proofErr w:type="spellStart"/>
      <w:r w:rsidR="002306F0">
        <w:t>Hittities</w:t>
      </w:r>
      <w:proofErr w:type="spellEnd"/>
      <w:r w:rsidR="002306F0">
        <w:t xml:space="preserve"> as </w:t>
      </w:r>
      <w:proofErr w:type="spellStart"/>
      <w:r w:rsidR="002306F0">
        <w:t>Hattusa</w:t>
      </w:r>
      <w:proofErr w:type="spellEnd"/>
      <w:r w:rsidR="002306F0">
        <w:t xml:space="preserve"> was the most historical and spirit city for Hittites, it is </w:t>
      </w:r>
      <w:r w:rsidR="00DA5762">
        <w:t>po</w:t>
      </w:r>
      <w:r w:rsidR="00D074E4">
        <w:t xml:space="preserve">ssible that </w:t>
      </w:r>
      <w:proofErr w:type="spellStart"/>
      <w:r w:rsidR="00D074E4">
        <w:t>Muwattalli</w:t>
      </w:r>
      <w:r w:rsidR="00640398">
        <w:t>’s</w:t>
      </w:r>
      <w:proofErr w:type="spellEnd"/>
      <w:r w:rsidR="00D074E4">
        <w:t xml:space="preserve"> </w:t>
      </w:r>
      <w:r w:rsidR="00640398">
        <w:t>idea</w:t>
      </w:r>
      <w:r w:rsidR="002306F0">
        <w:t xml:space="preserve"> </w:t>
      </w:r>
      <w:r w:rsidR="00DA5762">
        <w:t xml:space="preserve">was </w:t>
      </w:r>
      <w:r w:rsidR="002306F0">
        <w:t xml:space="preserve">to launch campaigns to </w:t>
      </w:r>
      <w:r w:rsidR="00242BDA">
        <w:t>fight the Egyptians</w:t>
      </w:r>
      <w:r w:rsidR="00640398">
        <w:t xml:space="preserve"> in order</w:t>
      </w:r>
      <w:r w:rsidR="00242BDA">
        <w:t xml:space="preserve"> </w:t>
      </w:r>
      <w:r w:rsidR="002306F0">
        <w:t>restore total control of Syria while not having to worry about t</w:t>
      </w:r>
      <w:r w:rsidR="00A033D0">
        <w:t xml:space="preserve">he </w:t>
      </w:r>
      <w:proofErr w:type="spellStart"/>
      <w:r w:rsidR="00A033D0">
        <w:t>Kaskan</w:t>
      </w:r>
      <w:proofErr w:type="spellEnd"/>
      <w:r w:rsidR="00A033D0">
        <w:t xml:space="preserve"> threat as he </w:t>
      </w:r>
      <w:r w:rsidR="0048554B">
        <w:t>partition</w:t>
      </w:r>
      <w:r w:rsidR="00A033D0">
        <w:t xml:space="preserve"> the </w:t>
      </w:r>
      <w:r w:rsidR="00640398">
        <w:t>northern part of the Hittite</w:t>
      </w:r>
      <w:r w:rsidR="00A033D0">
        <w:t xml:space="preserve"> to his brother </w:t>
      </w:r>
      <w:proofErr w:type="spellStart"/>
      <w:r w:rsidR="00A033D0">
        <w:t>Hattusili</w:t>
      </w:r>
      <w:proofErr w:type="spellEnd"/>
      <w:r w:rsidR="00D074E4">
        <w:t>, who woul</w:t>
      </w:r>
      <w:r w:rsidR="00A57B13">
        <w:t>d play a larger part in</w:t>
      </w:r>
      <w:r w:rsidR="006A3304">
        <w:t xml:space="preserve"> </w:t>
      </w:r>
      <w:r w:rsidR="00A57B13">
        <w:t>Egyptian and Hittite relations</w:t>
      </w:r>
      <w:r w:rsidR="00D074E4">
        <w:t xml:space="preserve"> later</w:t>
      </w:r>
      <w:r w:rsidR="00A57B13">
        <w:t xml:space="preserve"> on</w:t>
      </w:r>
      <w:r w:rsidR="002306F0">
        <w:t xml:space="preserve">. </w:t>
      </w:r>
    </w:p>
    <w:p w:rsidR="005950EF" w:rsidRDefault="00C05ABA" w:rsidP="00DF24AB">
      <w:pPr>
        <w:spacing w:line="480" w:lineRule="auto"/>
        <w:ind w:firstLine="720"/>
      </w:pPr>
      <w:r>
        <w:t xml:space="preserve">As </w:t>
      </w:r>
      <w:proofErr w:type="spellStart"/>
      <w:r>
        <w:t>Seti</w:t>
      </w:r>
      <w:proofErr w:type="spellEnd"/>
      <w:r>
        <w:t xml:space="preserve"> I died in 1279</w:t>
      </w:r>
      <w:r w:rsidR="006A3304">
        <w:t xml:space="preserve"> BC</w:t>
      </w:r>
      <w:r>
        <w:t xml:space="preserve">, his son, </w:t>
      </w:r>
      <w:proofErr w:type="spellStart"/>
      <w:r>
        <w:t>Ramesses</w:t>
      </w:r>
      <w:proofErr w:type="spellEnd"/>
      <w:r>
        <w:t xml:space="preserve"> II, ascended th</w:t>
      </w:r>
      <w:r w:rsidR="00A57B13">
        <w:t>e throne and renewed campaigns in</w:t>
      </w:r>
      <w:r>
        <w:t xml:space="preserve"> Syria. With both sides armed </w:t>
      </w:r>
      <w:r w:rsidR="00A57B13">
        <w:t xml:space="preserve">and prepared </w:t>
      </w:r>
      <w:r>
        <w:t>in 1274</w:t>
      </w:r>
      <w:r w:rsidR="006A3304">
        <w:t xml:space="preserve"> BC</w:t>
      </w:r>
      <w:r>
        <w:t xml:space="preserve">, the contest took place in the same region of </w:t>
      </w:r>
      <w:proofErr w:type="spellStart"/>
      <w:r>
        <w:t>Kadesh</w:t>
      </w:r>
      <w:proofErr w:type="spellEnd"/>
      <w:r>
        <w:t xml:space="preserve">. From records on temples walls of the </w:t>
      </w:r>
      <w:proofErr w:type="spellStart"/>
      <w:r>
        <w:t>Ramesseum</w:t>
      </w:r>
      <w:proofErr w:type="spellEnd"/>
      <w:r>
        <w:t xml:space="preserve">, Karnak, Luxor, </w:t>
      </w:r>
      <w:proofErr w:type="spellStart"/>
      <w:r>
        <w:t>Abydo</w:t>
      </w:r>
      <w:proofErr w:type="spellEnd"/>
      <w:r>
        <w:t>, and Abu Simbel, we have Egyptian account and bias of the battl</w:t>
      </w:r>
      <w:r w:rsidR="00A57B13">
        <w:t xml:space="preserve">e, but not a </w:t>
      </w:r>
      <w:r w:rsidR="006A3304">
        <w:t xml:space="preserve">detailed </w:t>
      </w:r>
      <w:r w:rsidR="00A57B13">
        <w:t>Hittite account</w:t>
      </w:r>
      <w:r>
        <w:t xml:space="preserve">. </w:t>
      </w:r>
      <w:r w:rsidR="00242BDA">
        <w:t xml:space="preserve">According to the </w:t>
      </w:r>
      <w:r w:rsidR="00FF713E">
        <w:t xml:space="preserve">Egyptian </w:t>
      </w:r>
      <w:r w:rsidR="00242BDA">
        <w:t>records,</w:t>
      </w:r>
      <w:r w:rsidR="006A019D">
        <w:t xml:space="preserve"> </w:t>
      </w:r>
      <w:r w:rsidR="00242BDA">
        <w:t xml:space="preserve">as </w:t>
      </w:r>
      <w:r w:rsidR="006A019D">
        <w:t xml:space="preserve">the Egyptian army </w:t>
      </w:r>
      <w:r w:rsidR="00242BDA">
        <w:t>proceeded along the L</w:t>
      </w:r>
      <w:r w:rsidR="006A019D">
        <w:t>eva</w:t>
      </w:r>
      <w:r w:rsidR="00F21641">
        <w:t xml:space="preserve">nt coast, two </w:t>
      </w:r>
      <w:proofErr w:type="spellStart"/>
      <w:r w:rsidR="00F21641">
        <w:t>Shosuu</w:t>
      </w:r>
      <w:proofErr w:type="spellEnd"/>
      <w:r w:rsidR="00F21641">
        <w:t xml:space="preserve"> Bedouins came, wishing to defect to Egyptian </w:t>
      </w:r>
      <w:r w:rsidR="00242BDA">
        <w:t>forces</w:t>
      </w:r>
      <w:r w:rsidR="00F21641">
        <w:t>,</w:t>
      </w:r>
      <w:r w:rsidR="00242BDA">
        <w:t xml:space="preserve"> but actually</w:t>
      </w:r>
      <w:r w:rsidR="006A019D">
        <w:t xml:space="preserve"> were two spies to scout </w:t>
      </w:r>
      <w:proofErr w:type="spellStart"/>
      <w:r w:rsidR="006A019D">
        <w:t>Ramesses</w:t>
      </w:r>
      <w:proofErr w:type="spellEnd"/>
      <w:r w:rsidR="006A019D">
        <w:t>’ position</w:t>
      </w:r>
      <w:r w:rsidR="00F21641">
        <w:t>.</w:t>
      </w:r>
      <w:r w:rsidR="006A019D">
        <w:t xml:space="preserve"> </w:t>
      </w:r>
      <w:r w:rsidR="00F21641">
        <w:t xml:space="preserve">Failing to verify the spies, </w:t>
      </w:r>
      <w:proofErr w:type="spellStart"/>
      <w:r w:rsidR="00F21641">
        <w:t>Ramesses</w:t>
      </w:r>
      <w:proofErr w:type="spellEnd"/>
      <w:r w:rsidR="00F21641">
        <w:t xml:space="preserve"> II let them go, only to find out the next day from two capture</w:t>
      </w:r>
      <w:r w:rsidR="00442B71">
        <w:t>d</w:t>
      </w:r>
      <w:r w:rsidR="00F21641">
        <w:t xml:space="preserve"> </w:t>
      </w:r>
      <w:proofErr w:type="spellStart"/>
      <w:r w:rsidR="00F21641">
        <w:t>Hatti</w:t>
      </w:r>
      <w:proofErr w:type="spellEnd"/>
      <w:r w:rsidR="00F21641">
        <w:t xml:space="preserve"> scouts that</w:t>
      </w:r>
      <w:r w:rsidR="00D074E4">
        <w:t xml:space="preserve"> revealed</w:t>
      </w:r>
      <w:r w:rsidR="006A019D">
        <w:t xml:space="preserve"> </w:t>
      </w:r>
      <w:proofErr w:type="spellStart"/>
      <w:r w:rsidR="006A019D">
        <w:t>Muwattalli</w:t>
      </w:r>
      <w:r w:rsidR="00D074E4">
        <w:t>’s</w:t>
      </w:r>
      <w:proofErr w:type="spellEnd"/>
      <w:r w:rsidR="00442B71">
        <w:t xml:space="preserve"> army</w:t>
      </w:r>
      <w:r w:rsidR="006A019D">
        <w:t xml:space="preserve"> </w:t>
      </w:r>
      <w:r w:rsidR="00492F1A">
        <w:t>about to</w:t>
      </w:r>
      <w:r w:rsidR="00442B71">
        <w:t xml:space="preserve"> </w:t>
      </w:r>
      <w:r w:rsidR="00492F1A">
        <w:t xml:space="preserve">attack </w:t>
      </w:r>
      <w:proofErr w:type="spellStart"/>
      <w:r w:rsidR="00492F1A">
        <w:t>Ramesses</w:t>
      </w:r>
      <w:proofErr w:type="spellEnd"/>
      <w:r w:rsidR="00492F1A">
        <w:t xml:space="preserve">’ </w:t>
      </w:r>
      <w:r w:rsidR="006A019D">
        <w:t>di</w:t>
      </w:r>
      <w:r w:rsidR="00492F1A">
        <w:t xml:space="preserve">vision that was ahead of the rest of the army; </w:t>
      </w:r>
      <w:r w:rsidR="00A57B13">
        <w:t xml:space="preserve">an </w:t>
      </w:r>
      <w:r w:rsidR="00492F1A">
        <w:t xml:space="preserve">error </w:t>
      </w:r>
      <w:r w:rsidR="00A57B13">
        <w:t xml:space="preserve">that </w:t>
      </w:r>
      <w:proofErr w:type="spellStart"/>
      <w:r w:rsidR="00492F1A">
        <w:t>Ramesses</w:t>
      </w:r>
      <w:proofErr w:type="spellEnd"/>
      <w:r w:rsidR="00492F1A">
        <w:t xml:space="preserve"> </w:t>
      </w:r>
      <w:r w:rsidR="00492F1A">
        <w:lastRenderedPageBreak/>
        <w:t xml:space="preserve">made wanting </w:t>
      </w:r>
      <w:r w:rsidR="00FF713E">
        <w:t xml:space="preserve">to </w:t>
      </w:r>
      <w:r w:rsidR="00492F1A">
        <w:t>quickly prepare for</w:t>
      </w:r>
      <w:r w:rsidR="00D074E4">
        <w:t xml:space="preserve"> </w:t>
      </w:r>
      <w:r w:rsidR="00FF713E">
        <w:t xml:space="preserve">the </w:t>
      </w:r>
      <w:r w:rsidR="00D074E4">
        <w:t xml:space="preserve">siege of </w:t>
      </w:r>
      <w:proofErr w:type="spellStart"/>
      <w:r w:rsidR="00D074E4">
        <w:t>K</w:t>
      </w:r>
      <w:r w:rsidR="00F21641">
        <w:t>adesh</w:t>
      </w:r>
      <w:proofErr w:type="spellEnd"/>
      <w:r>
        <w:t>.</w:t>
      </w:r>
      <w:r w:rsidR="00FF713E">
        <w:t xml:space="preserve"> D</w:t>
      </w:r>
      <w:r w:rsidR="006E46D7">
        <w:t>efeat seemed real as</w:t>
      </w:r>
      <w:r w:rsidR="00242BDA">
        <w:t xml:space="preserve"> </w:t>
      </w:r>
      <w:r w:rsidR="006E46D7">
        <w:t xml:space="preserve">the </w:t>
      </w:r>
      <w:r w:rsidR="00242BDA">
        <w:t>Egyptian forces were overwhelmed</w:t>
      </w:r>
      <w:r w:rsidR="00D074E4">
        <w:t xml:space="preserve"> by the Hittite surprise attack; but </w:t>
      </w:r>
      <w:proofErr w:type="spellStart"/>
      <w:r w:rsidR="006A019D">
        <w:t>Ramesses</w:t>
      </w:r>
      <w:proofErr w:type="spellEnd"/>
      <w:r w:rsidR="006A019D">
        <w:t xml:space="preserve"> rallied his troops for a victor</w:t>
      </w:r>
      <w:r w:rsidR="00D074E4">
        <w:t xml:space="preserve">ious counter attack. As </w:t>
      </w:r>
      <w:r w:rsidR="006A3304">
        <w:t xml:space="preserve">the </w:t>
      </w:r>
      <w:proofErr w:type="spellStart"/>
      <w:r w:rsidR="00D074E4">
        <w:t>Ramesses</w:t>
      </w:r>
      <w:proofErr w:type="spellEnd"/>
      <w:r w:rsidR="006A019D">
        <w:t xml:space="preserve"> account is questionable</w:t>
      </w:r>
      <w:r w:rsidR="00AA09CB">
        <w:t>, both sides claim victory in that battl</w:t>
      </w:r>
      <w:r w:rsidR="00242BDA">
        <w:t>e which is</w:t>
      </w:r>
      <w:r w:rsidR="00AA09CB">
        <w:t xml:space="preserve"> mostly like</w:t>
      </w:r>
      <w:r w:rsidR="00242BDA">
        <w:t>ly</w:t>
      </w:r>
      <w:r w:rsidR="00AA09CB">
        <w:t xml:space="preserve"> ended in a stalemate</w:t>
      </w:r>
      <w:r w:rsidR="00D074E4">
        <w:t xml:space="preserve">, but </w:t>
      </w:r>
      <w:r w:rsidR="00A57B13">
        <w:t xml:space="preserve">mostly likely </w:t>
      </w:r>
      <w:r w:rsidR="00D074E4">
        <w:t>the Hittites seemed to be the victors</w:t>
      </w:r>
      <w:r w:rsidR="00AA09CB">
        <w:t>.</w:t>
      </w:r>
      <w:r w:rsidR="00242BDA">
        <w:t xml:space="preserve">  As</w:t>
      </w:r>
      <w:r w:rsidR="00D046E0">
        <w:t xml:space="preserve"> </w:t>
      </w:r>
      <w:proofErr w:type="spellStart"/>
      <w:r w:rsidR="00D046E0">
        <w:t>Ramesses</w:t>
      </w:r>
      <w:proofErr w:type="spellEnd"/>
      <w:r w:rsidR="00D046E0">
        <w:t xml:space="preserve"> </w:t>
      </w:r>
      <w:r w:rsidR="006E46D7">
        <w:t xml:space="preserve">was </w:t>
      </w:r>
      <w:r w:rsidR="00242BDA">
        <w:t>force</w:t>
      </w:r>
      <w:r w:rsidR="006E46D7">
        <w:t>d to</w:t>
      </w:r>
      <w:r w:rsidR="00242BDA">
        <w:t xml:space="preserve"> </w:t>
      </w:r>
      <w:r w:rsidR="00D046E0">
        <w:t xml:space="preserve">retreat, </w:t>
      </w:r>
      <w:proofErr w:type="spellStart"/>
      <w:r w:rsidR="00D046E0">
        <w:t>Muwa</w:t>
      </w:r>
      <w:r w:rsidR="006A3304">
        <w:t>ttalli</w:t>
      </w:r>
      <w:proofErr w:type="spellEnd"/>
      <w:r w:rsidR="006A3304">
        <w:t xml:space="preserve"> was able to chase him and his army far to</w:t>
      </w:r>
      <w:r w:rsidR="00D046E0">
        <w:t xml:space="preserve"> the region of Damascu</w:t>
      </w:r>
      <w:r w:rsidR="005950EF">
        <w:t>s and conquered that Egyptian</w:t>
      </w:r>
      <w:r w:rsidR="006A3304">
        <w:t xml:space="preserve"> held</w:t>
      </w:r>
      <w:r w:rsidR="005950EF">
        <w:t xml:space="preserve"> region along with </w:t>
      </w:r>
      <w:proofErr w:type="spellStart"/>
      <w:r w:rsidR="005950EF">
        <w:t>Amurru</w:t>
      </w:r>
      <w:proofErr w:type="spellEnd"/>
      <w:r w:rsidR="005950EF">
        <w:t xml:space="preserve">. With evidence </w:t>
      </w:r>
      <w:r w:rsidR="00D074E4">
        <w:t xml:space="preserve">of </w:t>
      </w:r>
      <w:r w:rsidR="00A57B13">
        <w:t>uprisings in</w:t>
      </w:r>
      <w:r w:rsidR="00D074E4">
        <w:t xml:space="preserve"> Canaan and </w:t>
      </w:r>
      <w:r w:rsidR="00F847E5">
        <w:t xml:space="preserve">Palestinian </w:t>
      </w:r>
      <w:r w:rsidR="005950EF">
        <w:t xml:space="preserve">after the battle of </w:t>
      </w:r>
      <w:proofErr w:type="spellStart"/>
      <w:r w:rsidR="005950EF">
        <w:t>Kadesh</w:t>
      </w:r>
      <w:proofErr w:type="spellEnd"/>
      <w:r w:rsidR="005950EF">
        <w:t xml:space="preserve">, </w:t>
      </w:r>
      <w:proofErr w:type="spellStart"/>
      <w:r w:rsidR="005950EF">
        <w:t>Ramesses</w:t>
      </w:r>
      <w:proofErr w:type="spellEnd"/>
      <w:r w:rsidR="005950EF">
        <w:t xml:space="preserve"> authority was damaged by the failed Syrian campaign, contradicting his represented victory. As tensions between the two powers were</w:t>
      </w:r>
      <w:r w:rsidR="00F847E5">
        <w:t xml:space="preserve"> still hostile</w:t>
      </w:r>
      <w:r w:rsidR="005950EF">
        <w:t>, ne</w:t>
      </w:r>
      <w:r w:rsidR="00D074E4">
        <w:t>i</w:t>
      </w:r>
      <w:r w:rsidR="005950EF">
        <w:t>ther of them could not recover from the cost</w:t>
      </w:r>
      <w:r w:rsidR="00F847E5">
        <w:t xml:space="preserve"> of the battle</w:t>
      </w:r>
      <w:r w:rsidR="00A57B13">
        <w:t xml:space="preserve"> and weaken both of them militarily</w:t>
      </w:r>
      <w:r w:rsidR="005950EF">
        <w:t>.</w:t>
      </w:r>
      <w:r w:rsidR="001C2307">
        <w:rPr>
          <w:rStyle w:val="FootnoteReference"/>
        </w:rPr>
        <w:footnoteReference w:id="13"/>
      </w:r>
      <w:r w:rsidR="005950EF">
        <w:t xml:space="preserve"> </w:t>
      </w:r>
    </w:p>
    <w:p w:rsidR="005729F7" w:rsidRDefault="005729F7" w:rsidP="00DF24AB">
      <w:pPr>
        <w:spacing w:line="480" w:lineRule="auto"/>
        <w:ind w:firstLine="720"/>
      </w:pPr>
      <w:r>
        <w:t>After the Battle</w:t>
      </w:r>
      <w:r w:rsidR="00FF713E">
        <w:t xml:space="preserve"> of </w:t>
      </w:r>
      <w:proofErr w:type="spellStart"/>
      <w:r w:rsidR="00FF713E">
        <w:t>K</w:t>
      </w:r>
      <w:r>
        <w:t>adesh</w:t>
      </w:r>
      <w:proofErr w:type="spellEnd"/>
      <w:r>
        <w:t xml:space="preserve">, </w:t>
      </w:r>
      <w:proofErr w:type="spellStart"/>
      <w:r>
        <w:t>Muw</w:t>
      </w:r>
      <w:r w:rsidR="00A57B13">
        <w:t>attalli</w:t>
      </w:r>
      <w:proofErr w:type="spellEnd"/>
      <w:r w:rsidR="00A57B13">
        <w:t xml:space="preserve"> died</w:t>
      </w:r>
      <w:r w:rsidR="00FF713E">
        <w:t xml:space="preserve"> around 1272 BC</w:t>
      </w:r>
      <w:r w:rsidR="00A57B13">
        <w:t xml:space="preserve"> and his</w:t>
      </w:r>
      <w:r>
        <w:t xml:space="preserve"> son </w:t>
      </w:r>
      <w:proofErr w:type="spellStart"/>
      <w:r>
        <w:t>Urhi-Teshub</w:t>
      </w:r>
      <w:proofErr w:type="spellEnd"/>
      <w:r>
        <w:t xml:space="preserve">, </w:t>
      </w:r>
      <w:r w:rsidR="00A57B13">
        <w:t xml:space="preserve">throne name </w:t>
      </w:r>
      <w:proofErr w:type="spellStart"/>
      <w:r>
        <w:t>Mursili</w:t>
      </w:r>
      <w:proofErr w:type="spellEnd"/>
      <w:r>
        <w:t xml:space="preserve"> III</w:t>
      </w:r>
      <w:r w:rsidR="000E4AD3">
        <w:t>,</w:t>
      </w:r>
      <w:r>
        <w:t xml:space="preserve"> </w:t>
      </w:r>
      <w:r w:rsidR="00A24EB6">
        <w:t xml:space="preserve">was </w:t>
      </w:r>
      <w:r w:rsidR="000E4AD3">
        <w:t xml:space="preserve">placed </w:t>
      </w:r>
      <w:r w:rsidR="00A24EB6">
        <w:t>shortly in power before his u</w:t>
      </w:r>
      <w:r>
        <w:t>ncle</w:t>
      </w:r>
      <w:r w:rsidR="00A24EB6">
        <w:t xml:space="preserve"> and ruler of the Upper Land</w:t>
      </w:r>
      <w:r>
        <w:t xml:space="preserve">, </w:t>
      </w:r>
      <w:proofErr w:type="spellStart"/>
      <w:r>
        <w:t>Ha</w:t>
      </w:r>
      <w:r w:rsidR="00A24EB6">
        <w:t>ttusili</w:t>
      </w:r>
      <w:proofErr w:type="spellEnd"/>
      <w:r w:rsidR="00A24EB6">
        <w:t>, defeated him in a civil war</w:t>
      </w:r>
      <w:r w:rsidR="00AA3AC6">
        <w:t xml:space="preserve"> and place</w:t>
      </w:r>
      <w:r w:rsidR="001907B0">
        <w:t>d him</w:t>
      </w:r>
      <w:r w:rsidR="00AA3AC6">
        <w:t xml:space="preserve"> into exile. After failed attempts to escape exile, </w:t>
      </w:r>
      <w:proofErr w:type="spellStart"/>
      <w:r w:rsidR="00AA3AC6">
        <w:t>Ur</w:t>
      </w:r>
      <w:r w:rsidR="000E4AD3">
        <w:t>hi-Teshub</w:t>
      </w:r>
      <w:proofErr w:type="spellEnd"/>
      <w:r w:rsidR="000E4AD3">
        <w:t xml:space="preserve"> managed to escape to</w:t>
      </w:r>
      <w:r w:rsidR="00AA3AC6">
        <w:t xml:space="preserve"> </w:t>
      </w:r>
      <w:proofErr w:type="spellStart"/>
      <w:r w:rsidR="00AA3AC6">
        <w:t>Ramesses</w:t>
      </w:r>
      <w:proofErr w:type="spellEnd"/>
      <w:r w:rsidR="00AA3AC6">
        <w:t xml:space="preserve"> II court</w:t>
      </w:r>
      <w:r w:rsidR="008E191C">
        <w:t xml:space="preserve">. Fearing that </w:t>
      </w:r>
      <w:proofErr w:type="spellStart"/>
      <w:r w:rsidR="008E191C">
        <w:t>Urhi-Teshub</w:t>
      </w:r>
      <w:proofErr w:type="spellEnd"/>
      <w:r w:rsidR="008E191C">
        <w:t xml:space="preserve"> might acquire Egyptia</w:t>
      </w:r>
      <w:r w:rsidR="001907B0">
        <w:t>n support in restoring his place at Hittite throne</w:t>
      </w:r>
      <w:r w:rsidR="008E191C">
        <w:t xml:space="preserve">, </w:t>
      </w:r>
      <w:proofErr w:type="spellStart"/>
      <w:r w:rsidR="008E191C">
        <w:t>Hattusili</w:t>
      </w:r>
      <w:proofErr w:type="spellEnd"/>
      <w:r w:rsidR="008E191C">
        <w:t xml:space="preserve"> organized an alliance treaty with Egypt and for </w:t>
      </w:r>
      <w:proofErr w:type="spellStart"/>
      <w:r w:rsidR="008E191C">
        <w:t>Urhi-Teshub</w:t>
      </w:r>
      <w:proofErr w:type="spellEnd"/>
      <w:r w:rsidR="008E191C">
        <w:t xml:space="preserve"> to be </w:t>
      </w:r>
      <w:r w:rsidR="00FF713E">
        <w:t>extradited</w:t>
      </w:r>
      <w:r w:rsidR="008E191C">
        <w:t>.</w:t>
      </w:r>
      <w:r w:rsidR="008E191C">
        <w:rPr>
          <w:rStyle w:val="FootnoteReference"/>
        </w:rPr>
        <w:footnoteReference w:id="14"/>
      </w:r>
      <w:r w:rsidR="008E191C">
        <w:t xml:space="preserve"> Except f</w:t>
      </w:r>
      <w:r w:rsidR="000E4AD3">
        <w:t xml:space="preserve">or the eradiation clause as </w:t>
      </w:r>
      <w:proofErr w:type="spellStart"/>
      <w:r w:rsidR="000E4AD3">
        <w:t>Ramesses</w:t>
      </w:r>
      <w:proofErr w:type="spellEnd"/>
      <w:r w:rsidR="001907B0">
        <w:t xml:space="preserve"> II</w:t>
      </w:r>
      <w:r w:rsidR="000E4AD3">
        <w:t xml:space="preserve"> wanted to </w:t>
      </w:r>
      <w:r w:rsidR="001907B0">
        <w:t xml:space="preserve">use </w:t>
      </w:r>
      <w:proofErr w:type="spellStart"/>
      <w:r w:rsidR="001907B0">
        <w:t>Urhi-Teshub</w:t>
      </w:r>
      <w:proofErr w:type="spellEnd"/>
      <w:r w:rsidR="001907B0">
        <w:t xml:space="preserve"> as</w:t>
      </w:r>
      <w:r w:rsidR="008E191C">
        <w:t xml:space="preserve"> leverage,</w:t>
      </w:r>
      <w:r w:rsidR="006A3304">
        <w:t xml:space="preserve"> </w:t>
      </w:r>
      <w:proofErr w:type="spellStart"/>
      <w:r w:rsidR="006A3304">
        <w:t>Ramesses</w:t>
      </w:r>
      <w:proofErr w:type="spellEnd"/>
      <w:r w:rsidR="000A6E46">
        <w:t xml:space="preserve"> accepted the treaty as both Egyptian and </w:t>
      </w:r>
      <w:proofErr w:type="spellStart"/>
      <w:r w:rsidR="000A6E46">
        <w:t>Hatti</w:t>
      </w:r>
      <w:proofErr w:type="spellEnd"/>
      <w:r w:rsidR="000A6E46">
        <w:t xml:space="preserve"> copies exists. Mutual interaction</w:t>
      </w:r>
      <w:r w:rsidR="00A57B13">
        <w:t>s between the powers is evident</w:t>
      </w:r>
      <w:r w:rsidR="000A6E46">
        <w:t xml:space="preserve"> as </w:t>
      </w:r>
      <w:proofErr w:type="spellStart"/>
      <w:r w:rsidR="009D2126">
        <w:t>Hatti</w:t>
      </w:r>
      <w:proofErr w:type="spellEnd"/>
      <w:r w:rsidR="009D2126">
        <w:t xml:space="preserve"> sent a princess for the </w:t>
      </w:r>
      <w:r w:rsidR="00FF713E">
        <w:t>elderly</w:t>
      </w:r>
      <w:r w:rsidR="009D2126">
        <w:t xml:space="preserve"> </w:t>
      </w:r>
      <w:proofErr w:type="spellStart"/>
      <w:r w:rsidR="009D2126">
        <w:t>Ramesses</w:t>
      </w:r>
      <w:proofErr w:type="spellEnd"/>
      <w:r w:rsidR="009D2126">
        <w:t xml:space="preserve"> II and</w:t>
      </w:r>
      <w:r w:rsidR="000E4AD3">
        <w:t xml:space="preserve"> </w:t>
      </w:r>
      <w:r w:rsidR="000A6E46">
        <w:t>Egyptian medical knowledge and</w:t>
      </w:r>
      <w:r w:rsidR="00D46615">
        <w:t xml:space="preserve"> </w:t>
      </w:r>
      <w:r w:rsidR="006A3304">
        <w:t>physicians</w:t>
      </w:r>
      <w:r w:rsidR="00D46615">
        <w:t xml:space="preserve"> were sent to </w:t>
      </w:r>
      <w:proofErr w:type="spellStart"/>
      <w:r w:rsidR="00D46615">
        <w:t>Hatti</w:t>
      </w:r>
      <w:proofErr w:type="spellEnd"/>
      <w:r w:rsidR="00D46615">
        <w:t xml:space="preserve">, as a statue of the Egyptian god, </w:t>
      </w:r>
      <w:proofErr w:type="spellStart"/>
      <w:r w:rsidR="00D46615">
        <w:t>Khons</w:t>
      </w:r>
      <w:proofErr w:type="spellEnd"/>
      <w:r w:rsidR="00D46615">
        <w:t xml:space="preserve"> the Provider, was sent to cure </w:t>
      </w:r>
      <w:proofErr w:type="spellStart"/>
      <w:r w:rsidR="00D46615">
        <w:t>Hattusili’s</w:t>
      </w:r>
      <w:proofErr w:type="spellEnd"/>
      <w:r w:rsidR="00D46615">
        <w:t xml:space="preserve"> daughter and succeeded</w:t>
      </w:r>
      <w:r w:rsidR="007E1F7D">
        <w:t>.</w:t>
      </w:r>
      <w:r w:rsidR="000A6E46">
        <w:rPr>
          <w:rStyle w:val="FootnoteReference"/>
        </w:rPr>
        <w:footnoteReference w:id="15"/>
      </w:r>
      <w:r w:rsidR="000A6E46">
        <w:t xml:space="preserve"> </w:t>
      </w:r>
      <w:r w:rsidR="007E1F7D">
        <w:t xml:space="preserve">As </w:t>
      </w:r>
      <w:proofErr w:type="spellStart"/>
      <w:r w:rsidR="007E1F7D">
        <w:t>Hatti</w:t>
      </w:r>
      <w:proofErr w:type="spellEnd"/>
      <w:r w:rsidR="007E1F7D">
        <w:t xml:space="preserve"> suffered famine, they relied heavily on Egyptian wheat</w:t>
      </w:r>
      <w:r w:rsidR="006A3304">
        <w:t xml:space="preserve"> </w:t>
      </w:r>
      <w:r w:rsidR="006A3304">
        <w:lastRenderedPageBreak/>
        <w:t>imports</w:t>
      </w:r>
      <w:r w:rsidR="007E1F7D">
        <w:t>.</w:t>
      </w:r>
      <w:r w:rsidR="007E1F7D">
        <w:rPr>
          <w:rStyle w:val="FootnoteReference"/>
        </w:rPr>
        <w:footnoteReference w:id="16"/>
      </w:r>
      <w:r w:rsidR="007E1F7D">
        <w:t xml:space="preserve"> </w:t>
      </w:r>
      <w:r w:rsidR="00DE53D6">
        <w:t>Peace</w:t>
      </w:r>
      <w:r w:rsidR="007E1F7D">
        <w:t>, trade</w:t>
      </w:r>
      <w:r w:rsidR="006A3304">
        <w:t>,</w:t>
      </w:r>
      <w:r w:rsidR="00DE53D6">
        <w:t xml:space="preserve"> and cooperation between the two powers would continue until the internal co</w:t>
      </w:r>
      <w:r w:rsidR="00290517">
        <w:t>llapse of the Hittites in the</w:t>
      </w:r>
      <w:r w:rsidR="00FF713E">
        <w:t xml:space="preserve"> late</w:t>
      </w:r>
      <w:r w:rsidR="00290517">
        <w:t xml:space="preserve"> 13</w:t>
      </w:r>
      <w:r w:rsidR="00290517" w:rsidRPr="00290517">
        <w:rPr>
          <w:vertAlign w:val="superscript"/>
        </w:rPr>
        <w:t>th</w:t>
      </w:r>
      <w:r w:rsidR="00290517">
        <w:t xml:space="preserve"> century BC</w:t>
      </w:r>
      <w:r w:rsidR="00DE53D6">
        <w:t xml:space="preserve"> from internal strife, famine, and Sea </w:t>
      </w:r>
      <w:r w:rsidR="00290517">
        <w:t>P</w:t>
      </w:r>
      <w:r w:rsidR="00DE53D6">
        <w:t>eople invasions</w:t>
      </w:r>
      <w:r w:rsidR="00590D0F">
        <w:t xml:space="preserve"> which</w:t>
      </w:r>
      <w:r w:rsidR="00472585">
        <w:t xml:space="preserve"> would also weaken </w:t>
      </w:r>
      <w:r w:rsidR="00D074E4">
        <w:t xml:space="preserve">New </w:t>
      </w:r>
      <w:r w:rsidR="00674697">
        <w:t>Kingdom Egypt</w:t>
      </w:r>
      <w:r w:rsidR="00472585">
        <w:t xml:space="preserve"> and lead to its demise centuries later</w:t>
      </w:r>
      <w:r w:rsidR="00D074E4">
        <w:t>.</w:t>
      </w:r>
      <w:r w:rsidR="00DE53D6">
        <w:t xml:space="preserve"> </w:t>
      </w:r>
      <w:r w:rsidR="00DE53D6">
        <w:rPr>
          <w:rStyle w:val="FootnoteReference"/>
        </w:rPr>
        <w:footnoteReference w:id="17"/>
      </w:r>
    </w:p>
    <w:p w:rsidR="009A3E5B" w:rsidRDefault="001A0A58" w:rsidP="00DF24AB">
      <w:pPr>
        <w:spacing w:line="480" w:lineRule="auto"/>
        <w:ind w:firstLine="720"/>
      </w:pPr>
      <w:r>
        <w:t>The conflict</w:t>
      </w:r>
      <w:r w:rsidR="005866C1">
        <w:t xml:space="preserve"> between </w:t>
      </w:r>
      <w:r w:rsidR="009A3E5B">
        <w:t>New Kingdom Egypt and Hittites</w:t>
      </w:r>
      <w:r w:rsidR="00611C0F">
        <w:t xml:space="preserve"> are one of the earliest international disputes in history</w:t>
      </w:r>
      <w:r w:rsidR="00904EA2">
        <w:t xml:space="preserve"> as they wish to further their foreign holdings and the battles took place</w:t>
      </w:r>
      <w:r w:rsidR="00DB7533">
        <w:t xml:space="preserve"> in contested vassal areas instead of</w:t>
      </w:r>
      <w:r w:rsidR="00904EA2">
        <w:t xml:space="preserve"> actual Egyptian and</w:t>
      </w:r>
      <w:r w:rsidR="00DB7533">
        <w:t xml:space="preserve"> </w:t>
      </w:r>
      <w:proofErr w:type="spellStart"/>
      <w:r w:rsidR="00DB7533">
        <w:t>Hatti</w:t>
      </w:r>
      <w:proofErr w:type="spellEnd"/>
      <w:r w:rsidR="00DB7533">
        <w:t xml:space="preserve"> territories</w:t>
      </w:r>
      <w:r w:rsidR="004A6FBA">
        <w:t>.  As both kingdoms</w:t>
      </w:r>
      <w:r w:rsidR="00472585">
        <w:t xml:space="preserve"> fought bitterly, they</w:t>
      </w:r>
      <w:r w:rsidR="004A6FBA">
        <w:t xml:space="preserve"> co</w:t>
      </w:r>
      <w:r w:rsidR="00472585">
        <w:t xml:space="preserve">uld not defeat each other yet </w:t>
      </w:r>
      <w:r w:rsidR="004A6FBA">
        <w:t>manage</w:t>
      </w:r>
      <w:r w:rsidR="00472585">
        <w:t>d</w:t>
      </w:r>
      <w:r w:rsidR="004A6FBA">
        <w:t xml:space="preserve"> to tolerate each other </w:t>
      </w:r>
      <w:r>
        <w:t>and have peaceful relations</w:t>
      </w:r>
      <w:r>
        <w:t xml:space="preserve"> </w:t>
      </w:r>
      <w:r w:rsidR="004A6FBA">
        <w:t>until their demise.</w:t>
      </w:r>
      <w:r w:rsidR="00472585">
        <w:t xml:space="preserve"> Hittites</w:t>
      </w:r>
      <w:r w:rsidR="00500D54">
        <w:t xml:space="preserve"> proved not to be a typical group disorganized wretches that Egyptians depict</w:t>
      </w:r>
      <w:r w:rsidR="00472585">
        <w:t>ed</w:t>
      </w:r>
      <w:r w:rsidR="00500D54">
        <w:t xml:space="preserve"> for foreigners as bu</w:t>
      </w:r>
      <w:bookmarkStart w:id="0" w:name="_GoBack"/>
      <w:bookmarkEnd w:id="0"/>
      <w:r w:rsidR="00500D54">
        <w:t>t a kingdom worthy of being a rival</w:t>
      </w:r>
      <w:r w:rsidR="00472585">
        <w:t xml:space="preserve"> of Egypt’s great age of the New Kingdom</w:t>
      </w:r>
      <w:r w:rsidR="00500D54">
        <w:t xml:space="preserve">. </w:t>
      </w:r>
    </w:p>
    <w:p w:rsidR="00C05ABA" w:rsidRDefault="005950EF" w:rsidP="00DF24AB">
      <w:pPr>
        <w:spacing w:line="480" w:lineRule="auto"/>
        <w:ind w:firstLine="720"/>
      </w:pPr>
      <w:r>
        <w:t xml:space="preserve"> </w:t>
      </w:r>
    </w:p>
    <w:p w:rsidR="00F47252" w:rsidRDefault="00206BC8" w:rsidP="00590D0F">
      <w:pPr>
        <w:spacing w:line="480" w:lineRule="auto"/>
        <w:ind w:firstLine="720"/>
      </w:pPr>
      <w:r>
        <w:t xml:space="preserve">.  </w:t>
      </w:r>
    </w:p>
    <w:sectPr w:rsidR="00F472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F0" w:rsidRDefault="00390EF0" w:rsidP="00F976BE">
      <w:pPr>
        <w:spacing w:after="0" w:line="240" w:lineRule="auto"/>
      </w:pPr>
      <w:r>
        <w:separator/>
      </w:r>
    </w:p>
  </w:endnote>
  <w:endnote w:type="continuationSeparator" w:id="0">
    <w:p w:rsidR="00390EF0" w:rsidRDefault="00390EF0" w:rsidP="00F9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F0" w:rsidRDefault="00390EF0" w:rsidP="00F976BE">
      <w:pPr>
        <w:spacing w:after="0" w:line="240" w:lineRule="auto"/>
      </w:pPr>
      <w:r>
        <w:separator/>
      </w:r>
    </w:p>
  </w:footnote>
  <w:footnote w:type="continuationSeparator" w:id="0">
    <w:p w:rsidR="00390EF0" w:rsidRDefault="00390EF0" w:rsidP="00F976BE">
      <w:pPr>
        <w:spacing w:after="0" w:line="240" w:lineRule="auto"/>
      </w:pPr>
      <w:r>
        <w:continuationSeparator/>
      </w:r>
    </w:p>
  </w:footnote>
  <w:footnote w:id="1">
    <w:p w:rsidR="004B6CC1" w:rsidRDefault="004B6CC1" w:rsidP="004B6CC1">
      <w:pPr>
        <w:pStyle w:val="FootnoteText"/>
      </w:pPr>
      <w:r>
        <w:rPr>
          <w:rStyle w:val="FootnoteReference"/>
        </w:rPr>
        <w:footnoteRef/>
      </w:r>
      <w:r>
        <w:t xml:space="preserve"> Bryce, Trevor. </w:t>
      </w:r>
      <w:proofErr w:type="gramStart"/>
      <w:r>
        <w:rPr>
          <w:i/>
        </w:rPr>
        <w:t>Life and Society in the Hittite World</w:t>
      </w:r>
      <w:r>
        <w:t>.</w:t>
      </w:r>
      <w:proofErr w:type="gramEnd"/>
      <w:r>
        <w:t xml:space="preserve"> </w:t>
      </w:r>
      <w:proofErr w:type="gramStart"/>
      <w:r>
        <w:t>Oxford University Press.</w:t>
      </w:r>
      <w:proofErr w:type="gramEnd"/>
      <w:r>
        <w:t xml:space="preserve"> Oxford, New York. 2002.Pg 8</w:t>
      </w:r>
    </w:p>
  </w:footnote>
  <w:footnote w:id="2">
    <w:p w:rsidR="004B6CC1" w:rsidRDefault="004B6CC1" w:rsidP="004B6CC1">
      <w:pPr>
        <w:pStyle w:val="FootnoteText"/>
      </w:pPr>
      <w:r>
        <w:rPr>
          <w:rStyle w:val="FootnoteReference"/>
        </w:rPr>
        <w:footnoteRef/>
      </w:r>
      <w:r>
        <w:t xml:space="preserve"> Collins, Billie Jean. </w:t>
      </w:r>
      <w:proofErr w:type="gramStart"/>
      <w:r>
        <w:rPr>
          <w:i/>
        </w:rPr>
        <w:t>Hittites and Their World.</w:t>
      </w:r>
      <w:proofErr w:type="gramEnd"/>
      <w:r>
        <w:t xml:space="preserve"> </w:t>
      </w:r>
      <w:proofErr w:type="gramStart"/>
      <w:r>
        <w:t>Society of Biblical Litera</w:t>
      </w:r>
      <w:r w:rsidR="000B67A1">
        <w:t>ture.</w:t>
      </w:r>
      <w:proofErr w:type="gramEnd"/>
      <w:r w:rsidR="000B67A1">
        <w:t xml:space="preserve"> Atlanta, Georgia. 2007. </w:t>
      </w:r>
      <w:proofErr w:type="spellStart"/>
      <w:r w:rsidR="000B67A1">
        <w:t>P</w:t>
      </w:r>
      <w:r>
        <w:t>g</w:t>
      </w:r>
      <w:r w:rsidR="000B67A1">
        <w:t>s</w:t>
      </w:r>
      <w:proofErr w:type="spellEnd"/>
      <w:r>
        <w:t xml:space="preserve"> 37-39</w:t>
      </w:r>
    </w:p>
  </w:footnote>
  <w:footnote w:id="3">
    <w:p w:rsidR="006E7E64" w:rsidRPr="00FE2153" w:rsidRDefault="006E7E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Ikram</w:t>
      </w:r>
      <w:proofErr w:type="spellEnd"/>
      <w:r>
        <w:t xml:space="preserve">, </w:t>
      </w:r>
      <w:proofErr w:type="spellStart"/>
      <w:r>
        <w:t>Salima</w:t>
      </w:r>
      <w:proofErr w:type="spellEnd"/>
      <w:r>
        <w:t xml:space="preserve">. </w:t>
      </w:r>
      <w:r>
        <w:rPr>
          <w:i/>
        </w:rPr>
        <w:t xml:space="preserve">Ancient Egypt: An Introduction. </w:t>
      </w:r>
      <w:proofErr w:type="gramStart"/>
      <w:r>
        <w:t>Cambridge University Press.</w:t>
      </w:r>
      <w:proofErr w:type="gramEnd"/>
      <w:r>
        <w:t xml:space="preserve"> New York, New York. 2010. </w:t>
      </w:r>
      <w:proofErr w:type="spellStart"/>
      <w:r>
        <w:t>Pg</w:t>
      </w:r>
      <w:proofErr w:type="spellEnd"/>
      <w:r>
        <w:t xml:space="preserve"> 98 </w:t>
      </w:r>
    </w:p>
  </w:footnote>
  <w:footnote w:id="4">
    <w:p w:rsidR="006E7E64" w:rsidRDefault="006E7E64">
      <w:pPr>
        <w:pStyle w:val="FootnoteText"/>
      </w:pPr>
      <w:r>
        <w:rPr>
          <w:rStyle w:val="FootnoteReference"/>
        </w:rPr>
        <w:footnoteRef/>
      </w:r>
      <w:r>
        <w:t xml:space="preserve"> Bryce</w:t>
      </w:r>
      <w:r w:rsidR="00D41393">
        <w:t>, Trevor</w:t>
      </w:r>
      <w:r>
        <w:t xml:space="preserve">. </w:t>
      </w:r>
      <w:proofErr w:type="gramStart"/>
      <w:r w:rsidR="00D41393">
        <w:rPr>
          <w:i/>
        </w:rPr>
        <w:t>The Kingdom of the Hittites.</w:t>
      </w:r>
      <w:proofErr w:type="gramEnd"/>
      <w:r w:rsidR="00D41393">
        <w:t xml:space="preserve"> </w:t>
      </w:r>
      <w:proofErr w:type="gramStart"/>
      <w:r w:rsidR="00D41393">
        <w:t>Oxford University Press.</w:t>
      </w:r>
      <w:proofErr w:type="gramEnd"/>
      <w:r w:rsidR="00D41393">
        <w:t xml:space="preserve"> Oxford, </w:t>
      </w:r>
      <w:proofErr w:type="spellStart"/>
      <w:r w:rsidR="00D41393">
        <w:t>NewYork</w:t>
      </w:r>
      <w:proofErr w:type="spellEnd"/>
      <w:r w:rsidR="00D41393">
        <w:t>. 2005</w:t>
      </w:r>
      <w:r>
        <w:t xml:space="preserve"> </w:t>
      </w:r>
      <w:proofErr w:type="spellStart"/>
      <w:r w:rsidR="000B67A1">
        <w:t>P</w:t>
      </w:r>
      <w:r>
        <w:t>g</w:t>
      </w:r>
      <w:r w:rsidR="000B67A1">
        <w:t>s</w:t>
      </w:r>
      <w:proofErr w:type="spellEnd"/>
      <w:r>
        <w:t xml:space="preserve"> 140</w:t>
      </w:r>
      <w:r w:rsidR="000B67A1">
        <w:t xml:space="preserve">, </w:t>
      </w:r>
      <w:r>
        <w:t>141</w:t>
      </w:r>
    </w:p>
  </w:footnote>
  <w:footnote w:id="5">
    <w:p w:rsidR="006E7E64" w:rsidRDefault="006E7E64">
      <w:pPr>
        <w:pStyle w:val="FootnoteText"/>
      </w:pPr>
      <w:r>
        <w:rPr>
          <w:rStyle w:val="FootnoteReference"/>
        </w:rPr>
        <w:footnoteRef/>
      </w:r>
      <w:r>
        <w:t xml:space="preserve"> Bryce. </w:t>
      </w:r>
      <w:proofErr w:type="gramStart"/>
      <w:r w:rsidR="000B67A1">
        <w:rPr>
          <w:i/>
        </w:rPr>
        <w:t>Kingdom</w:t>
      </w:r>
      <w:r w:rsidR="00D41393">
        <w:rPr>
          <w:i/>
        </w:rPr>
        <w:t>.</w:t>
      </w:r>
      <w:proofErr w:type="gramEnd"/>
      <w:r w:rsidR="000B67A1">
        <w:t xml:space="preserve"> </w:t>
      </w:r>
      <w:proofErr w:type="spellStart"/>
      <w:r w:rsidR="000B67A1">
        <w:t>Pgs</w:t>
      </w:r>
      <w:proofErr w:type="spellEnd"/>
      <w:r w:rsidR="000B67A1">
        <w:t xml:space="preserve"> 144,145</w:t>
      </w:r>
    </w:p>
  </w:footnote>
  <w:footnote w:id="6">
    <w:p w:rsidR="006E7E64" w:rsidRDefault="006E7E64">
      <w:pPr>
        <w:pStyle w:val="FootnoteText"/>
      </w:pPr>
      <w:r>
        <w:rPr>
          <w:rStyle w:val="FootnoteReference"/>
        </w:rPr>
        <w:footnoteRef/>
      </w:r>
      <w:r>
        <w:t xml:space="preserve"> Bryce</w:t>
      </w:r>
      <w:r w:rsidR="00D074E4">
        <w:t>.</w:t>
      </w:r>
      <w:r w:rsidR="00D41393">
        <w:t xml:space="preserve"> </w:t>
      </w:r>
      <w:r w:rsidR="000B67A1">
        <w:rPr>
          <w:i/>
        </w:rPr>
        <w:t>Kingdom</w:t>
      </w:r>
      <w:r w:rsidR="00D41393">
        <w:rPr>
          <w:i/>
        </w:rPr>
        <w:t xml:space="preserve"> Hittites</w:t>
      </w:r>
      <w:r w:rsidR="000B67A1">
        <w:t xml:space="preserve"> </w:t>
      </w:r>
      <w:proofErr w:type="spellStart"/>
      <w:r w:rsidR="000B67A1">
        <w:t>P</w:t>
      </w:r>
      <w:r>
        <w:t>g</w:t>
      </w:r>
      <w:r w:rsidR="000B67A1">
        <w:t>s</w:t>
      </w:r>
      <w:proofErr w:type="spellEnd"/>
      <w:r>
        <w:t xml:space="preserve"> 148-151</w:t>
      </w:r>
    </w:p>
  </w:footnote>
  <w:footnote w:id="7">
    <w:p w:rsidR="006E7E64" w:rsidRDefault="006E7E64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Collins </w:t>
      </w:r>
      <w:proofErr w:type="spellStart"/>
      <w:r w:rsidR="000B67A1">
        <w:t>P</w:t>
      </w:r>
      <w:r>
        <w:t>g</w:t>
      </w:r>
      <w:r w:rsidR="000B67A1">
        <w:t>s</w:t>
      </w:r>
      <w:proofErr w:type="spellEnd"/>
      <w:r>
        <w:t xml:space="preserve"> 48,49</w:t>
      </w:r>
    </w:p>
  </w:footnote>
  <w:footnote w:id="9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Collins </w:t>
      </w:r>
      <w:proofErr w:type="spellStart"/>
      <w:r w:rsidR="000B67A1">
        <w:t>P</w:t>
      </w:r>
      <w:r>
        <w:t>g</w:t>
      </w:r>
      <w:proofErr w:type="spellEnd"/>
      <w:r>
        <w:t xml:space="preserve"> 49</w:t>
      </w:r>
    </w:p>
  </w:footnote>
  <w:footnote w:id="10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Bryce.</w:t>
      </w:r>
      <w:r>
        <w:t xml:space="preserve"> </w:t>
      </w:r>
      <w:r w:rsidRPr="000B67A1">
        <w:rPr>
          <w:i/>
        </w:rPr>
        <w:t>Kin</w:t>
      </w:r>
      <w:r w:rsidR="000B67A1" w:rsidRPr="000B67A1">
        <w:rPr>
          <w:i/>
        </w:rPr>
        <w:t>gdom</w:t>
      </w:r>
      <w:r w:rsidR="000B67A1">
        <w:t xml:space="preserve"> </w:t>
      </w:r>
      <w:proofErr w:type="spellStart"/>
      <w:r w:rsidR="000B67A1">
        <w:t>P</w:t>
      </w:r>
      <w:r>
        <w:t>g</w:t>
      </w:r>
      <w:proofErr w:type="spellEnd"/>
      <w:r>
        <w:t xml:space="preserve"> 222 </w:t>
      </w:r>
    </w:p>
  </w:footnote>
  <w:footnote w:id="11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Bryce.</w:t>
      </w:r>
      <w:r>
        <w:t xml:space="preserve"> </w:t>
      </w:r>
      <w:proofErr w:type="gramStart"/>
      <w:r w:rsidRPr="00D074E4">
        <w:rPr>
          <w:i/>
        </w:rPr>
        <w:t>Kingdom</w:t>
      </w:r>
      <w:r w:rsidR="000B67A1">
        <w:rPr>
          <w:i/>
        </w:rPr>
        <w:t>.</w:t>
      </w:r>
      <w:proofErr w:type="gramEnd"/>
      <w:r>
        <w:t xml:space="preserve"> </w:t>
      </w:r>
      <w:proofErr w:type="spellStart"/>
      <w:r w:rsidR="000B67A1">
        <w:t>P</w:t>
      </w:r>
      <w:r>
        <w:t>g</w:t>
      </w:r>
      <w:proofErr w:type="spellEnd"/>
      <w:r>
        <w:t xml:space="preserve"> 228</w:t>
      </w:r>
    </w:p>
  </w:footnote>
  <w:footnote w:id="12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Bryce.</w:t>
      </w:r>
      <w:r>
        <w:t xml:space="preserve"> </w:t>
      </w:r>
      <w:r w:rsidRPr="00D074E4">
        <w:rPr>
          <w:i/>
        </w:rPr>
        <w:t>Kingdom</w:t>
      </w:r>
      <w:r>
        <w:t xml:space="preserve"> </w:t>
      </w:r>
      <w:proofErr w:type="spellStart"/>
      <w:r w:rsidR="000B67A1">
        <w:t>Pg</w:t>
      </w:r>
      <w:proofErr w:type="spellEnd"/>
      <w:r w:rsidR="000B67A1">
        <w:t xml:space="preserve"> </w:t>
      </w:r>
      <w:r>
        <w:t>229</w:t>
      </w:r>
    </w:p>
  </w:footnote>
  <w:footnote w:id="13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Bryce.</w:t>
      </w:r>
      <w:r>
        <w:t xml:space="preserve"> </w:t>
      </w:r>
      <w:proofErr w:type="gramStart"/>
      <w:r w:rsidRPr="000B67A1">
        <w:rPr>
          <w:i/>
        </w:rPr>
        <w:t>Kingdom</w:t>
      </w:r>
      <w:r w:rsidR="000B67A1">
        <w:rPr>
          <w:i/>
        </w:rPr>
        <w:t>.</w:t>
      </w:r>
      <w:proofErr w:type="gramEnd"/>
      <w:r w:rsidR="000B67A1">
        <w:rPr>
          <w:i/>
        </w:rPr>
        <w:t xml:space="preserve"> </w:t>
      </w:r>
      <w:proofErr w:type="spellStart"/>
      <w:r w:rsidR="000B67A1">
        <w:t>Pg</w:t>
      </w:r>
      <w:proofErr w:type="spellEnd"/>
      <w:r w:rsidR="000B67A1">
        <w:t xml:space="preserve"> </w:t>
      </w:r>
      <w:r>
        <w:t>241</w:t>
      </w:r>
    </w:p>
  </w:footnote>
  <w:footnote w:id="14">
    <w:p w:rsidR="006E7E64" w:rsidRDefault="006E7E64">
      <w:pPr>
        <w:pStyle w:val="FootnoteText"/>
      </w:pPr>
      <w:r>
        <w:rPr>
          <w:rStyle w:val="FootnoteReference"/>
        </w:rPr>
        <w:footnoteRef/>
      </w:r>
      <w:r>
        <w:t xml:space="preserve"> Collins </w:t>
      </w:r>
      <w:proofErr w:type="spellStart"/>
      <w:r w:rsidR="000B67A1">
        <w:t>Pg</w:t>
      </w:r>
      <w:proofErr w:type="spellEnd"/>
      <w:r w:rsidR="000B67A1">
        <w:t xml:space="preserve"> </w:t>
      </w:r>
      <w:r>
        <w:t>61</w:t>
      </w:r>
    </w:p>
  </w:footnote>
  <w:footnote w:id="15">
    <w:p w:rsidR="006E7E64" w:rsidRDefault="006E7E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Ikarm</w:t>
      </w:r>
      <w:proofErr w:type="spellEnd"/>
      <w:r w:rsidR="00590D0F">
        <w:t>.</w:t>
      </w:r>
      <w:proofErr w:type="gramEnd"/>
      <w:r w:rsidR="00590D0F">
        <w:t xml:space="preserve"> </w:t>
      </w:r>
      <w:proofErr w:type="spellStart"/>
      <w:r w:rsidR="00590D0F">
        <w:t>Pg</w:t>
      </w:r>
      <w:proofErr w:type="spellEnd"/>
      <w:r w:rsidR="00590D0F">
        <w:t xml:space="preserve"> 243</w:t>
      </w:r>
    </w:p>
  </w:footnote>
  <w:footnote w:id="16">
    <w:p w:rsidR="007E1F7D" w:rsidRPr="007E1F7D" w:rsidRDefault="007E1F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Lackenbacher</w:t>
      </w:r>
      <w:proofErr w:type="spellEnd"/>
      <w:r>
        <w:t xml:space="preserve">, Sylvie. </w:t>
      </w:r>
      <w:proofErr w:type="gramStart"/>
      <w:r>
        <w:t xml:space="preserve">“Between Egypt and </w:t>
      </w:r>
      <w:proofErr w:type="spellStart"/>
      <w:r>
        <w:t>Hatti</w:t>
      </w:r>
      <w:proofErr w:type="spellEnd"/>
      <w:r>
        <w:t>.”</w:t>
      </w:r>
      <w:proofErr w:type="gramEnd"/>
      <w:r>
        <w:t xml:space="preserve"> </w:t>
      </w:r>
      <w:proofErr w:type="gramStart"/>
      <w:r>
        <w:rPr>
          <w:i/>
        </w:rPr>
        <w:t>Near Eastern Archaeology.</w:t>
      </w:r>
      <w:proofErr w:type="gramEnd"/>
      <w:r>
        <w:rPr>
          <w:i/>
        </w:rPr>
        <w:t xml:space="preserve"> </w:t>
      </w:r>
      <w:proofErr w:type="spellStart"/>
      <w:proofErr w:type="gramStart"/>
      <w:r>
        <w:t>Vol</w:t>
      </w:r>
      <w:proofErr w:type="spellEnd"/>
      <w:r>
        <w:t xml:space="preserve"> 64, no 4.</w:t>
      </w:r>
      <w:proofErr w:type="gramEnd"/>
      <w:r>
        <w:t xml:space="preserve"> 2000. </w:t>
      </w:r>
      <w:proofErr w:type="spellStart"/>
      <w:r>
        <w:t>Pg</w:t>
      </w:r>
      <w:proofErr w:type="spellEnd"/>
      <w:r>
        <w:t xml:space="preserve"> 194. </w:t>
      </w:r>
    </w:p>
  </w:footnote>
  <w:footnote w:id="17">
    <w:p w:rsidR="006E7E64" w:rsidRDefault="006E7E64">
      <w:pPr>
        <w:pStyle w:val="FootnoteText"/>
      </w:pPr>
      <w:r>
        <w:rPr>
          <w:rStyle w:val="FootnoteReference"/>
        </w:rPr>
        <w:footnoteRef/>
      </w:r>
      <w:r w:rsidR="000B67A1">
        <w:t xml:space="preserve"> Collins </w:t>
      </w:r>
      <w:proofErr w:type="spellStart"/>
      <w:r w:rsidR="000B67A1">
        <w:t>P</w:t>
      </w:r>
      <w:r>
        <w:t>g</w:t>
      </w:r>
      <w:r w:rsidR="000B67A1">
        <w:t>s</w:t>
      </w:r>
      <w:proofErr w:type="spellEnd"/>
      <w:r>
        <w:t xml:space="preserve"> 76, 77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08" w:rsidRDefault="00923E08">
    <w:pPr>
      <w:pStyle w:val="Header"/>
    </w:pPr>
    <w:r>
      <w:t xml:space="preserve">James </w:t>
    </w:r>
    <w:proofErr w:type="spellStart"/>
    <w:r>
      <w:t>Saberniak</w:t>
    </w:r>
    <w:proofErr w:type="spellEnd"/>
  </w:p>
  <w:p w:rsidR="003A3FAD" w:rsidRDefault="003A3FAD">
    <w:pPr>
      <w:pStyle w:val="Header"/>
    </w:pPr>
    <w:r>
      <w:t>ANTH 312H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8C"/>
    <w:rsid w:val="00011EF5"/>
    <w:rsid w:val="00013D92"/>
    <w:rsid w:val="00024196"/>
    <w:rsid w:val="00030388"/>
    <w:rsid w:val="000355E2"/>
    <w:rsid w:val="00037C76"/>
    <w:rsid w:val="000A4727"/>
    <w:rsid w:val="000A5CA3"/>
    <w:rsid w:val="000A6E46"/>
    <w:rsid w:val="000B67A1"/>
    <w:rsid w:val="000E4AD3"/>
    <w:rsid w:val="00154BAE"/>
    <w:rsid w:val="0015595D"/>
    <w:rsid w:val="0017126C"/>
    <w:rsid w:val="001907B0"/>
    <w:rsid w:val="001A0A58"/>
    <w:rsid w:val="001B36F1"/>
    <w:rsid w:val="001C2307"/>
    <w:rsid w:val="001D4080"/>
    <w:rsid w:val="00200B87"/>
    <w:rsid w:val="00206BC8"/>
    <w:rsid w:val="00223461"/>
    <w:rsid w:val="00224D82"/>
    <w:rsid w:val="002306F0"/>
    <w:rsid w:val="00242BDA"/>
    <w:rsid w:val="00244594"/>
    <w:rsid w:val="00267FF6"/>
    <w:rsid w:val="00290517"/>
    <w:rsid w:val="00291AFE"/>
    <w:rsid w:val="002A5FAF"/>
    <w:rsid w:val="002E65E1"/>
    <w:rsid w:val="00302904"/>
    <w:rsid w:val="00353375"/>
    <w:rsid w:val="00353847"/>
    <w:rsid w:val="00385711"/>
    <w:rsid w:val="00390EF0"/>
    <w:rsid w:val="00397C69"/>
    <w:rsid w:val="003A3FAD"/>
    <w:rsid w:val="003A7E95"/>
    <w:rsid w:val="00400380"/>
    <w:rsid w:val="004237C8"/>
    <w:rsid w:val="004370BE"/>
    <w:rsid w:val="00442B71"/>
    <w:rsid w:val="00463843"/>
    <w:rsid w:val="00471F70"/>
    <w:rsid w:val="00472585"/>
    <w:rsid w:val="00484E7B"/>
    <w:rsid w:val="0048554B"/>
    <w:rsid w:val="00492F1A"/>
    <w:rsid w:val="0049746A"/>
    <w:rsid w:val="004A0F59"/>
    <w:rsid w:val="004A6FBA"/>
    <w:rsid w:val="004B1AF4"/>
    <w:rsid w:val="004B5B51"/>
    <w:rsid w:val="004B6CC1"/>
    <w:rsid w:val="004E4EF5"/>
    <w:rsid w:val="004F5743"/>
    <w:rsid w:val="00500D54"/>
    <w:rsid w:val="005729F7"/>
    <w:rsid w:val="005866C1"/>
    <w:rsid w:val="00590D0F"/>
    <w:rsid w:val="00592704"/>
    <w:rsid w:val="00594A69"/>
    <w:rsid w:val="005950EF"/>
    <w:rsid w:val="005C15C8"/>
    <w:rsid w:val="005E3060"/>
    <w:rsid w:val="00611C0F"/>
    <w:rsid w:val="0061409C"/>
    <w:rsid w:val="0063173A"/>
    <w:rsid w:val="006319FF"/>
    <w:rsid w:val="00640398"/>
    <w:rsid w:val="0064555C"/>
    <w:rsid w:val="0067427A"/>
    <w:rsid w:val="00674697"/>
    <w:rsid w:val="006A019D"/>
    <w:rsid w:val="006A2800"/>
    <w:rsid w:val="006A3304"/>
    <w:rsid w:val="006C29CD"/>
    <w:rsid w:val="006D15A6"/>
    <w:rsid w:val="006E46D7"/>
    <w:rsid w:val="006E7E64"/>
    <w:rsid w:val="007728E8"/>
    <w:rsid w:val="00776EE6"/>
    <w:rsid w:val="007850A1"/>
    <w:rsid w:val="007D7C71"/>
    <w:rsid w:val="007E1F7D"/>
    <w:rsid w:val="00801909"/>
    <w:rsid w:val="00802B24"/>
    <w:rsid w:val="008476B2"/>
    <w:rsid w:val="00847B83"/>
    <w:rsid w:val="008528B7"/>
    <w:rsid w:val="00870926"/>
    <w:rsid w:val="00880589"/>
    <w:rsid w:val="0089328C"/>
    <w:rsid w:val="008C7465"/>
    <w:rsid w:val="008E191C"/>
    <w:rsid w:val="00904EA2"/>
    <w:rsid w:val="00917313"/>
    <w:rsid w:val="00917D7F"/>
    <w:rsid w:val="00923E08"/>
    <w:rsid w:val="00925890"/>
    <w:rsid w:val="00941730"/>
    <w:rsid w:val="009607DD"/>
    <w:rsid w:val="0096439F"/>
    <w:rsid w:val="0098192F"/>
    <w:rsid w:val="009A3E5B"/>
    <w:rsid w:val="009D2126"/>
    <w:rsid w:val="00A00DD8"/>
    <w:rsid w:val="00A033D0"/>
    <w:rsid w:val="00A16C49"/>
    <w:rsid w:val="00A24E28"/>
    <w:rsid w:val="00A24EB6"/>
    <w:rsid w:val="00A36D31"/>
    <w:rsid w:val="00A57B13"/>
    <w:rsid w:val="00A8666C"/>
    <w:rsid w:val="00AA09CB"/>
    <w:rsid w:val="00AA3AC6"/>
    <w:rsid w:val="00AB05E1"/>
    <w:rsid w:val="00AB5C25"/>
    <w:rsid w:val="00AC5C61"/>
    <w:rsid w:val="00AE097C"/>
    <w:rsid w:val="00AE4A3C"/>
    <w:rsid w:val="00B43B3D"/>
    <w:rsid w:val="00BA10A0"/>
    <w:rsid w:val="00BE5E1F"/>
    <w:rsid w:val="00BF485D"/>
    <w:rsid w:val="00C057A5"/>
    <w:rsid w:val="00C05ABA"/>
    <w:rsid w:val="00C070DF"/>
    <w:rsid w:val="00C550E3"/>
    <w:rsid w:val="00CF460E"/>
    <w:rsid w:val="00D026B0"/>
    <w:rsid w:val="00D046E0"/>
    <w:rsid w:val="00D074E4"/>
    <w:rsid w:val="00D1786E"/>
    <w:rsid w:val="00D3595B"/>
    <w:rsid w:val="00D41393"/>
    <w:rsid w:val="00D46615"/>
    <w:rsid w:val="00DA5762"/>
    <w:rsid w:val="00DB7533"/>
    <w:rsid w:val="00DC35D2"/>
    <w:rsid w:val="00DD7BAD"/>
    <w:rsid w:val="00DE53D6"/>
    <w:rsid w:val="00DF24AB"/>
    <w:rsid w:val="00E30D68"/>
    <w:rsid w:val="00E3178B"/>
    <w:rsid w:val="00E473A3"/>
    <w:rsid w:val="00E83EE8"/>
    <w:rsid w:val="00EB3B82"/>
    <w:rsid w:val="00ED5EA2"/>
    <w:rsid w:val="00EE3287"/>
    <w:rsid w:val="00F02640"/>
    <w:rsid w:val="00F07483"/>
    <w:rsid w:val="00F21641"/>
    <w:rsid w:val="00F21A23"/>
    <w:rsid w:val="00F25D68"/>
    <w:rsid w:val="00F47252"/>
    <w:rsid w:val="00F761FD"/>
    <w:rsid w:val="00F847E5"/>
    <w:rsid w:val="00F869A4"/>
    <w:rsid w:val="00F92C45"/>
    <w:rsid w:val="00F976BE"/>
    <w:rsid w:val="00FA5456"/>
    <w:rsid w:val="00FC23AE"/>
    <w:rsid w:val="00FD2A75"/>
    <w:rsid w:val="00FD31C2"/>
    <w:rsid w:val="00FE2153"/>
    <w:rsid w:val="00FF6AAA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7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6B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6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1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7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6B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6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07B1743-0310-49D2-AC35-BC18BA57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93</cp:revision>
  <dcterms:created xsi:type="dcterms:W3CDTF">2012-01-25T22:26:00Z</dcterms:created>
  <dcterms:modified xsi:type="dcterms:W3CDTF">2012-03-27T21:26:00Z</dcterms:modified>
</cp:coreProperties>
</file>