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17" w:rsidRPr="00124841" w:rsidRDefault="002D7217" w:rsidP="00124841">
      <w:pPr>
        <w:spacing w:line="480" w:lineRule="auto"/>
        <w:contextualSpacing/>
        <w:jc w:val="center"/>
        <w:rPr>
          <w:rFonts w:ascii="Times New Roman" w:hAnsi="Times New Roman" w:cs="Times New Roman"/>
          <w:sz w:val="18"/>
          <w:szCs w:val="24"/>
        </w:rPr>
      </w:pPr>
      <w:r w:rsidRPr="00124841">
        <w:rPr>
          <w:rFonts w:ascii="Times New Roman" w:hAnsi="Times New Roman" w:cs="Times New Roman"/>
          <w:sz w:val="18"/>
          <w:szCs w:val="24"/>
        </w:rPr>
        <w:t>A Pilot Study: An Evaluation of Periodontal Assessment Procedures</w:t>
      </w:r>
    </w:p>
    <w:p w:rsidR="002D7217" w:rsidRPr="00124841" w:rsidRDefault="002D7217" w:rsidP="00124841">
      <w:pPr>
        <w:spacing w:line="480" w:lineRule="auto"/>
        <w:contextualSpacing/>
        <w:jc w:val="center"/>
        <w:rPr>
          <w:rFonts w:ascii="Times New Roman" w:hAnsi="Times New Roman" w:cs="Times New Roman"/>
          <w:sz w:val="18"/>
          <w:szCs w:val="24"/>
        </w:rPr>
      </w:pPr>
      <w:r w:rsidRPr="00124841">
        <w:rPr>
          <w:rFonts w:ascii="Times New Roman" w:hAnsi="Times New Roman" w:cs="Times New Roman"/>
          <w:sz w:val="18"/>
          <w:szCs w:val="24"/>
        </w:rPr>
        <w:t>Among Indiana Dental Hygienists</w:t>
      </w:r>
    </w:p>
    <w:p w:rsidR="006358EB" w:rsidRPr="00124841" w:rsidRDefault="006358EB" w:rsidP="00124841">
      <w:pPr>
        <w:spacing w:line="480" w:lineRule="auto"/>
        <w:contextualSpacing/>
        <w:jc w:val="center"/>
        <w:rPr>
          <w:rFonts w:ascii="Times New Roman" w:hAnsi="Times New Roman" w:cs="Times New Roman"/>
          <w:sz w:val="18"/>
          <w:szCs w:val="24"/>
        </w:rPr>
      </w:pPr>
    </w:p>
    <w:p w:rsidR="002D7217" w:rsidRPr="00826539" w:rsidRDefault="00831001" w:rsidP="00124841">
      <w:pPr>
        <w:spacing w:line="480" w:lineRule="auto"/>
        <w:contextualSpacing/>
        <w:jc w:val="center"/>
        <w:rPr>
          <w:rFonts w:ascii="Times New Roman" w:hAnsi="Times New Roman" w:cs="Times New Roman"/>
          <w:sz w:val="18"/>
          <w:szCs w:val="24"/>
        </w:rPr>
      </w:pPr>
      <w:r>
        <w:rPr>
          <w:rFonts w:ascii="Times New Roman" w:hAnsi="Times New Roman" w:cs="Times New Roman"/>
          <w:sz w:val="18"/>
          <w:szCs w:val="24"/>
        </w:rPr>
        <w:t>Christine A. Stephan, RDH, BS</w:t>
      </w:r>
    </w:p>
    <w:p w:rsidR="00E8492B" w:rsidRDefault="00826539" w:rsidP="00124841">
      <w:pPr>
        <w:spacing w:line="480" w:lineRule="auto"/>
        <w:contextualSpacing/>
        <w:jc w:val="center"/>
        <w:rPr>
          <w:rFonts w:ascii="Times New Roman" w:hAnsi="Times New Roman" w:cs="Times New Roman"/>
          <w:sz w:val="18"/>
          <w:szCs w:val="24"/>
        </w:rPr>
      </w:pPr>
      <w:r w:rsidRPr="00831001">
        <w:rPr>
          <w:rFonts w:ascii="Times New Roman" w:hAnsi="Times New Roman" w:cs="Times New Roman"/>
          <w:sz w:val="18"/>
          <w:szCs w:val="24"/>
        </w:rPr>
        <w:t>Adjunct Faculty,</w:t>
      </w:r>
      <w:r w:rsidR="006358EB" w:rsidRPr="00831001">
        <w:rPr>
          <w:rFonts w:ascii="Times New Roman" w:hAnsi="Times New Roman" w:cs="Times New Roman"/>
          <w:sz w:val="18"/>
          <w:szCs w:val="24"/>
        </w:rPr>
        <w:t xml:space="preserve"> </w:t>
      </w:r>
      <w:r w:rsidR="00E8492B">
        <w:rPr>
          <w:rFonts w:ascii="Times New Roman" w:hAnsi="Times New Roman" w:cs="Times New Roman"/>
          <w:sz w:val="18"/>
          <w:szCs w:val="24"/>
        </w:rPr>
        <w:t>Dental Hygiene</w:t>
      </w:r>
    </w:p>
    <w:p w:rsidR="006358EB" w:rsidRPr="00831001" w:rsidRDefault="006358EB" w:rsidP="00124841">
      <w:pPr>
        <w:spacing w:line="480" w:lineRule="auto"/>
        <w:contextualSpacing/>
        <w:jc w:val="center"/>
        <w:rPr>
          <w:rFonts w:ascii="Times New Roman" w:hAnsi="Times New Roman" w:cs="Times New Roman"/>
          <w:sz w:val="18"/>
          <w:szCs w:val="24"/>
        </w:rPr>
      </w:pPr>
      <w:r w:rsidRPr="00831001">
        <w:rPr>
          <w:rFonts w:ascii="Times New Roman" w:hAnsi="Times New Roman" w:cs="Times New Roman"/>
          <w:sz w:val="18"/>
          <w:szCs w:val="24"/>
        </w:rPr>
        <w:t>Indiana</w:t>
      </w:r>
      <w:r w:rsidR="00826539" w:rsidRPr="00831001">
        <w:rPr>
          <w:rFonts w:ascii="Times New Roman" w:hAnsi="Times New Roman" w:cs="Times New Roman"/>
          <w:sz w:val="18"/>
          <w:szCs w:val="24"/>
        </w:rPr>
        <w:t xml:space="preserve"> University-Purdue University</w:t>
      </w:r>
      <w:r w:rsidRPr="00831001">
        <w:rPr>
          <w:rFonts w:ascii="Times New Roman" w:hAnsi="Times New Roman" w:cs="Times New Roman"/>
          <w:sz w:val="18"/>
          <w:szCs w:val="24"/>
        </w:rPr>
        <w:t xml:space="preserve"> Fort Wayne</w:t>
      </w:r>
    </w:p>
    <w:p w:rsidR="006358EB" w:rsidRPr="00124841" w:rsidRDefault="006358EB" w:rsidP="00124841">
      <w:pPr>
        <w:spacing w:line="480" w:lineRule="auto"/>
        <w:contextualSpacing/>
        <w:jc w:val="center"/>
        <w:rPr>
          <w:rFonts w:ascii="Times New Roman" w:hAnsi="Times New Roman" w:cs="Times New Roman"/>
          <w:sz w:val="18"/>
          <w:szCs w:val="24"/>
        </w:rPr>
      </w:pPr>
    </w:p>
    <w:p w:rsidR="006358EB" w:rsidRPr="00124841" w:rsidRDefault="006358EB" w:rsidP="00124841">
      <w:pPr>
        <w:spacing w:line="480" w:lineRule="auto"/>
        <w:contextualSpacing/>
        <w:jc w:val="center"/>
        <w:rPr>
          <w:rFonts w:ascii="Times New Roman" w:hAnsi="Times New Roman" w:cs="Times New Roman"/>
          <w:sz w:val="18"/>
          <w:szCs w:val="24"/>
        </w:rPr>
      </w:pPr>
      <w:r w:rsidRPr="00124841">
        <w:rPr>
          <w:rFonts w:ascii="Times New Roman" w:hAnsi="Times New Roman" w:cs="Times New Roman"/>
          <w:sz w:val="18"/>
          <w:szCs w:val="24"/>
        </w:rPr>
        <w:t xml:space="preserve">Rebecca </w:t>
      </w:r>
      <w:r w:rsidR="00124841" w:rsidRPr="00124841">
        <w:rPr>
          <w:rFonts w:ascii="Times New Roman" w:hAnsi="Times New Roman" w:cs="Times New Roman"/>
          <w:sz w:val="18"/>
          <w:szCs w:val="24"/>
        </w:rPr>
        <w:t>A.</w:t>
      </w:r>
      <w:r w:rsidR="00826539">
        <w:rPr>
          <w:rFonts w:ascii="Times New Roman" w:hAnsi="Times New Roman" w:cs="Times New Roman"/>
          <w:sz w:val="18"/>
          <w:szCs w:val="24"/>
        </w:rPr>
        <w:t xml:space="preserve"> </w:t>
      </w:r>
      <w:r w:rsidRPr="00124841">
        <w:rPr>
          <w:rFonts w:ascii="Times New Roman" w:hAnsi="Times New Roman" w:cs="Times New Roman"/>
          <w:sz w:val="18"/>
          <w:szCs w:val="24"/>
        </w:rPr>
        <w:t xml:space="preserve">Wright, </w:t>
      </w:r>
      <w:r w:rsidR="00831D45">
        <w:rPr>
          <w:rFonts w:ascii="Times New Roman" w:hAnsi="Times New Roman" w:cs="Times New Roman"/>
          <w:sz w:val="18"/>
          <w:szCs w:val="24"/>
        </w:rPr>
        <w:t xml:space="preserve">RDH, </w:t>
      </w:r>
      <w:r w:rsidR="00124841" w:rsidRPr="00124841">
        <w:rPr>
          <w:rFonts w:ascii="Times New Roman" w:hAnsi="Times New Roman" w:cs="Times New Roman"/>
          <w:sz w:val="18"/>
          <w:szCs w:val="24"/>
        </w:rPr>
        <w:t>PhD</w:t>
      </w:r>
    </w:p>
    <w:p w:rsidR="006358EB" w:rsidRPr="00124841" w:rsidRDefault="00826539" w:rsidP="00124841">
      <w:pPr>
        <w:spacing w:line="480" w:lineRule="auto"/>
        <w:contextualSpacing/>
        <w:jc w:val="center"/>
        <w:rPr>
          <w:rFonts w:ascii="Times New Roman" w:hAnsi="Times New Roman" w:cs="Times New Roman"/>
          <w:sz w:val="18"/>
          <w:szCs w:val="24"/>
        </w:rPr>
      </w:pPr>
      <w:r w:rsidRPr="00831001">
        <w:rPr>
          <w:rFonts w:ascii="Times New Roman" w:hAnsi="Times New Roman" w:cs="Times New Roman"/>
          <w:sz w:val="18"/>
          <w:szCs w:val="24"/>
        </w:rPr>
        <w:t>Assistant</w:t>
      </w:r>
      <w:r w:rsidR="006358EB" w:rsidRPr="00124841">
        <w:rPr>
          <w:rFonts w:ascii="Times New Roman" w:hAnsi="Times New Roman" w:cs="Times New Roman"/>
          <w:sz w:val="18"/>
          <w:szCs w:val="24"/>
        </w:rPr>
        <w:t xml:space="preserve"> Professor, Dental Hygiene</w:t>
      </w:r>
    </w:p>
    <w:p w:rsidR="006358EB" w:rsidRPr="00124841" w:rsidRDefault="006358EB" w:rsidP="00124841">
      <w:pPr>
        <w:spacing w:line="480" w:lineRule="auto"/>
        <w:contextualSpacing/>
        <w:jc w:val="center"/>
        <w:rPr>
          <w:rFonts w:ascii="Times New Roman" w:hAnsi="Times New Roman" w:cs="Times New Roman"/>
          <w:sz w:val="18"/>
          <w:szCs w:val="24"/>
        </w:rPr>
      </w:pPr>
      <w:r w:rsidRPr="00124841">
        <w:rPr>
          <w:rFonts w:ascii="Times New Roman" w:hAnsi="Times New Roman" w:cs="Times New Roman"/>
          <w:sz w:val="18"/>
          <w:szCs w:val="24"/>
        </w:rPr>
        <w:t>University of Texas Health Science Center, San Antonio</w:t>
      </w:r>
    </w:p>
    <w:p w:rsidR="006358EB" w:rsidRPr="00124841" w:rsidRDefault="006358EB" w:rsidP="00124841">
      <w:pPr>
        <w:spacing w:line="480" w:lineRule="auto"/>
        <w:contextualSpacing/>
        <w:jc w:val="center"/>
        <w:rPr>
          <w:rFonts w:ascii="Times New Roman" w:hAnsi="Times New Roman" w:cs="Times New Roman"/>
          <w:sz w:val="18"/>
          <w:szCs w:val="24"/>
        </w:rPr>
      </w:pPr>
    </w:p>
    <w:p w:rsidR="006358EB" w:rsidRPr="00124841" w:rsidRDefault="006358EB" w:rsidP="00124841">
      <w:pPr>
        <w:spacing w:line="480" w:lineRule="auto"/>
        <w:contextualSpacing/>
        <w:jc w:val="center"/>
        <w:rPr>
          <w:rFonts w:ascii="Times New Roman" w:hAnsi="Times New Roman" w:cs="Times New Roman"/>
          <w:sz w:val="18"/>
          <w:szCs w:val="24"/>
        </w:rPr>
      </w:pPr>
      <w:r w:rsidRPr="00124841">
        <w:rPr>
          <w:rFonts w:ascii="Times New Roman" w:hAnsi="Times New Roman" w:cs="Times New Roman"/>
          <w:sz w:val="18"/>
          <w:szCs w:val="24"/>
        </w:rPr>
        <w:t xml:space="preserve">Mary D. Cooper, RDH, </w:t>
      </w:r>
      <w:proofErr w:type="spellStart"/>
      <w:r w:rsidRPr="00124841">
        <w:rPr>
          <w:rFonts w:ascii="Times New Roman" w:hAnsi="Times New Roman" w:cs="Times New Roman"/>
          <w:sz w:val="18"/>
          <w:szCs w:val="24"/>
        </w:rPr>
        <w:t>MSEd</w:t>
      </w:r>
      <w:proofErr w:type="spellEnd"/>
    </w:p>
    <w:p w:rsidR="006358EB" w:rsidRPr="00831001" w:rsidRDefault="00826539" w:rsidP="00124841">
      <w:pPr>
        <w:spacing w:line="480" w:lineRule="auto"/>
        <w:contextualSpacing/>
        <w:jc w:val="center"/>
        <w:rPr>
          <w:rFonts w:ascii="Times New Roman" w:hAnsi="Times New Roman" w:cs="Times New Roman"/>
          <w:sz w:val="18"/>
          <w:szCs w:val="24"/>
        </w:rPr>
      </w:pPr>
      <w:r w:rsidRPr="00831001">
        <w:rPr>
          <w:rFonts w:ascii="Times New Roman" w:hAnsi="Times New Roman" w:cs="Times New Roman"/>
          <w:sz w:val="18"/>
          <w:szCs w:val="24"/>
        </w:rPr>
        <w:t xml:space="preserve">Professor and </w:t>
      </w:r>
      <w:r w:rsidR="00831001" w:rsidRPr="00831001">
        <w:rPr>
          <w:rFonts w:ascii="Times New Roman" w:hAnsi="Times New Roman" w:cs="Times New Roman"/>
          <w:sz w:val="18"/>
          <w:szCs w:val="24"/>
        </w:rPr>
        <w:t xml:space="preserve">Associate Dean, </w:t>
      </w:r>
      <w:r w:rsidRPr="00831001">
        <w:rPr>
          <w:rFonts w:ascii="Times New Roman" w:hAnsi="Times New Roman" w:cs="Times New Roman"/>
          <w:sz w:val="18"/>
          <w:szCs w:val="24"/>
        </w:rPr>
        <w:t xml:space="preserve">College </w:t>
      </w:r>
      <w:r w:rsidR="006358EB" w:rsidRPr="00831001">
        <w:rPr>
          <w:rFonts w:ascii="Times New Roman" w:hAnsi="Times New Roman" w:cs="Times New Roman"/>
          <w:sz w:val="18"/>
          <w:szCs w:val="24"/>
        </w:rPr>
        <w:t>of Health and Human Services</w:t>
      </w:r>
    </w:p>
    <w:p w:rsidR="006358EB" w:rsidRPr="00831001" w:rsidRDefault="006358EB" w:rsidP="00124841">
      <w:pPr>
        <w:spacing w:line="480" w:lineRule="auto"/>
        <w:contextualSpacing/>
        <w:jc w:val="center"/>
        <w:rPr>
          <w:rFonts w:ascii="Times New Roman" w:hAnsi="Times New Roman" w:cs="Times New Roman"/>
          <w:sz w:val="18"/>
          <w:szCs w:val="24"/>
        </w:rPr>
      </w:pPr>
      <w:r w:rsidRPr="00831001">
        <w:rPr>
          <w:rFonts w:ascii="Times New Roman" w:hAnsi="Times New Roman" w:cs="Times New Roman"/>
          <w:sz w:val="18"/>
          <w:szCs w:val="24"/>
        </w:rPr>
        <w:t>Indiana</w:t>
      </w:r>
      <w:r w:rsidR="00826539" w:rsidRPr="00831001">
        <w:rPr>
          <w:rFonts w:ascii="Times New Roman" w:hAnsi="Times New Roman" w:cs="Times New Roman"/>
          <w:sz w:val="18"/>
          <w:szCs w:val="24"/>
        </w:rPr>
        <w:t xml:space="preserve"> University-Purdue University</w:t>
      </w:r>
      <w:r w:rsidRPr="00831001">
        <w:rPr>
          <w:rFonts w:ascii="Times New Roman" w:hAnsi="Times New Roman" w:cs="Times New Roman"/>
          <w:sz w:val="18"/>
          <w:szCs w:val="24"/>
        </w:rPr>
        <w:t xml:space="preserve"> Fort Wayne</w:t>
      </w:r>
    </w:p>
    <w:p w:rsidR="006358EB" w:rsidRPr="00831001" w:rsidRDefault="006358EB" w:rsidP="00124841">
      <w:pPr>
        <w:spacing w:line="480" w:lineRule="auto"/>
        <w:contextualSpacing/>
        <w:jc w:val="center"/>
        <w:rPr>
          <w:rFonts w:ascii="Times New Roman" w:hAnsi="Times New Roman" w:cs="Times New Roman"/>
          <w:sz w:val="18"/>
          <w:szCs w:val="24"/>
        </w:rPr>
      </w:pPr>
    </w:p>
    <w:p w:rsidR="006358EB" w:rsidRPr="00831001" w:rsidRDefault="006358EB" w:rsidP="00124841">
      <w:pPr>
        <w:spacing w:line="480" w:lineRule="auto"/>
        <w:contextualSpacing/>
        <w:jc w:val="center"/>
        <w:rPr>
          <w:rFonts w:ascii="Times New Roman" w:hAnsi="Times New Roman" w:cs="Times New Roman"/>
          <w:sz w:val="18"/>
          <w:szCs w:val="24"/>
        </w:rPr>
      </w:pPr>
      <w:r w:rsidRPr="00831001">
        <w:rPr>
          <w:rFonts w:ascii="Times New Roman" w:hAnsi="Times New Roman" w:cs="Times New Roman"/>
          <w:sz w:val="18"/>
          <w:szCs w:val="24"/>
        </w:rPr>
        <w:t xml:space="preserve">Nancy K. Mann, RDH, </w:t>
      </w:r>
      <w:proofErr w:type="spellStart"/>
      <w:r w:rsidRPr="00831001">
        <w:rPr>
          <w:rFonts w:ascii="Times New Roman" w:hAnsi="Times New Roman" w:cs="Times New Roman"/>
          <w:sz w:val="18"/>
          <w:szCs w:val="24"/>
        </w:rPr>
        <w:t>MSEd</w:t>
      </w:r>
      <w:proofErr w:type="spellEnd"/>
    </w:p>
    <w:p w:rsidR="006358EB" w:rsidRPr="00831001" w:rsidRDefault="006358EB" w:rsidP="00124841">
      <w:pPr>
        <w:spacing w:line="480" w:lineRule="auto"/>
        <w:contextualSpacing/>
        <w:jc w:val="center"/>
        <w:rPr>
          <w:rFonts w:ascii="Times New Roman" w:hAnsi="Times New Roman" w:cs="Times New Roman"/>
          <w:sz w:val="18"/>
          <w:szCs w:val="24"/>
        </w:rPr>
      </w:pPr>
      <w:r w:rsidRPr="00831001">
        <w:rPr>
          <w:rFonts w:ascii="Times New Roman" w:hAnsi="Times New Roman" w:cs="Times New Roman"/>
          <w:sz w:val="18"/>
          <w:szCs w:val="24"/>
        </w:rPr>
        <w:t>Clinical Associate Professor, Dental</w:t>
      </w:r>
      <w:r w:rsidR="00826539" w:rsidRPr="00831001">
        <w:rPr>
          <w:rFonts w:ascii="Times New Roman" w:hAnsi="Times New Roman" w:cs="Times New Roman"/>
          <w:sz w:val="18"/>
          <w:szCs w:val="24"/>
        </w:rPr>
        <w:t xml:space="preserve"> </w:t>
      </w:r>
      <w:r w:rsidRPr="00831001">
        <w:rPr>
          <w:rFonts w:ascii="Times New Roman" w:hAnsi="Times New Roman" w:cs="Times New Roman"/>
          <w:sz w:val="18"/>
          <w:szCs w:val="24"/>
        </w:rPr>
        <w:t>Hygiene</w:t>
      </w:r>
    </w:p>
    <w:p w:rsidR="006358EB" w:rsidRDefault="006358EB" w:rsidP="00124841">
      <w:pPr>
        <w:spacing w:line="480" w:lineRule="auto"/>
        <w:contextualSpacing/>
        <w:jc w:val="center"/>
        <w:rPr>
          <w:rFonts w:ascii="Times New Roman" w:hAnsi="Times New Roman" w:cs="Times New Roman"/>
          <w:sz w:val="18"/>
          <w:szCs w:val="24"/>
        </w:rPr>
      </w:pPr>
      <w:r w:rsidRPr="00831001">
        <w:rPr>
          <w:rFonts w:ascii="Times New Roman" w:hAnsi="Times New Roman" w:cs="Times New Roman"/>
          <w:sz w:val="18"/>
          <w:szCs w:val="24"/>
        </w:rPr>
        <w:t>Indiana</w:t>
      </w:r>
      <w:r w:rsidR="00826539" w:rsidRPr="00831001">
        <w:rPr>
          <w:rFonts w:ascii="Times New Roman" w:hAnsi="Times New Roman" w:cs="Times New Roman"/>
          <w:sz w:val="18"/>
          <w:szCs w:val="24"/>
        </w:rPr>
        <w:t xml:space="preserve"> University-Purdue University</w:t>
      </w:r>
      <w:r w:rsidRPr="00831001">
        <w:rPr>
          <w:rFonts w:ascii="Times New Roman" w:hAnsi="Times New Roman" w:cs="Times New Roman"/>
          <w:sz w:val="18"/>
          <w:szCs w:val="24"/>
        </w:rPr>
        <w:t xml:space="preserve"> </w:t>
      </w:r>
      <w:r w:rsidRPr="00124841">
        <w:rPr>
          <w:rFonts w:ascii="Times New Roman" w:hAnsi="Times New Roman" w:cs="Times New Roman"/>
          <w:sz w:val="18"/>
          <w:szCs w:val="24"/>
        </w:rPr>
        <w:t>Fort Wayne</w:t>
      </w:r>
    </w:p>
    <w:p w:rsidR="00826539" w:rsidRPr="00124841" w:rsidRDefault="00826539" w:rsidP="00124841">
      <w:pPr>
        <w:spacing w:line="480" w:lineRule="auto"/>
        <w:contextualSpacing/>
        <w:jc w:val="center"/>
        <w:rPr>
          <w:rFonts w:ascii="Times New Roman" w:hAnsi="Times New Roman" w:cs="Times New Roman"/>
          <w:sz w:val="18"/>
          <w:szCs w:val="24"/>
        </w:rPr>
      </w:pPr>
    </w:p>
    <w:p w:rsidR="00826539" w:rsidRPr="00124841" w:rsidRDefault="00826539" w:rsidP="00826539">
      <w:pPr>
        <w:spacing w:line="480" w:lineRule="auto"/>
        <w:contextualSpacing/>
        <w:jc w:val="center"/>
        <w:rPr>
          <w:rFonts w:ascii="Times New Roman" w:hAnsi="Times New Roman" w:cs="Times New Roman"/>
          <w:sz w:val="18"/>
          <w:szCs w:val="24"/>
        </w:rPr>
      </w:pPr>
      <w:r w:rsidRPr="00124841">
        <w:rPr>
          <w:rFonts w:ascii="Times New Roman" w:hAnsi="Times New Roman" w:cs="Times New Roman"/>
          <w:sz w:val="18"/>
          <w:szCs w:val="24"/>
        </w:rPr>
        <w:t>Mary E. Jacks, RDH, M.S.</w:t>
      </w:r>
    </w:p>
    <w:p w:rsidR="00826539" w:rsidRPr="00124841" w:rsidRDefault="00826539" w:rsidP="00826539">
      <w:pPr>
        <w:spacing w:line="480" w:lineRule="auto"/>
        <w:contextualSpacing/>
        <w:jc w:val="center"/>
        <w:rPr>
          <w:rFonts w:ascii="Times New Roman" w:hAnsi="Times New Roman" w:cs="Times New Roman"/>
          <w:sz w:val="18"/>
          <w:szCs w:val="24"/>
        </w:rPr>
      </w:pPr>
      <w:r w:rsidRPr="00124841">
        <w:rPr>
          <w:rFonts w:ascii="Times New Roman" w:hAnsi="Times New Roman" w:cs="Times New Roman"/>
          <w:sz w:val="18"/>
          <w:szCs w:val="24"/>
        </w:rPr>
        <w:t xml:space="preserve">Program Director, Masters of Dental Hygiene, </w:t>
      </w:r>
    </w:p>
    <w:p w:rsidR="00826539" w:rsidRPr="00124841" w:rsidRDefault="00826539" w:rsidP="00826539">
      <w:pPr>
        <w:spacing w:line="480" w:lineRule="auto"/>
        <w:contextualSpacing/>
        <w:jc w:val="center"/>
        <w:rPr>
          <w:rFonts w:ascii="Times New Roman" w:hAnsi="Times New Roman" w:cs="Times New Roman"/>
          <w:sz w:val="18"/>
          <w:szCs w:val="24"/>
        </w:rPr>
      </w:pPr>
      <w:r w:rsidRPr="00124841">
        <w:rPr>
          <w:rFonts w:ascii="Times New Roman" w:hAnsi="Times New Roman" w:cs="Times New Roman"/>
          <w:sz w:val="18"/>
          <w:szCs w:val="24"/>
        </w:rPr>
        <w:t>University of Texas Health Science Center, San Antonio</w:t>
      </w:r>
    </w:p>
    <w:p w:rsidR="006358EB" w:rsidRPr="00124841" w:rsidRDefault="006358EB" w:rsidP="00124841">
      <w:pPr>
        <w:spacing w:line="480" w:lineRule="auto"/>
        <w:contextualSpacing/>
        <w:jc w:val="center"/>
        <w:rPr>
          <w:rFonts w:ascii="Times New Roman" w:hAnsi="Times New Roman" w:cs="Times New Roman"/>
          <w:sz w:val="18"/>
          <w:szCs w:val="24"/>
        </w:rPr>
      </w:pPr>
    </w:p>
    <w:p w:rsidR="006358EB" w:rsidRPr="00124841" w:rsidRDefault="006358EB" w:rsidP="00124841">
      <w:pPr>
        <w:spacing w:line="480" w:lineRule="auto"/>
        <w:contextualSpacing/>
        <w:jc w:val="center"/>
        <w:rPr>
          <w:rFonts w:ascii="Times New Roman" w:hAnsi="Times New Roman" w:cs="Times New Roman"/>
          <w:sz w:val="18"/>
          <w:szCs w:val="24"/>
        </w:rPr>
      </w:pPr>
    </w:p>
    <w:p w:rsidR="00124841" w:rsidRPr="008625C6" w:rsidRDefault="00124841" w:rsidP="00124841">
      <w:pPr>
        <w:spacing w:line="480" w:lineRule="auto"/>
        <w:contextualSpacing/>
        <w:jc w:val="center"/>
        <w:rPr>
          <w:rFonts w:ascii="Times New Roman" w:hAnsi="Times New Roman" w:cs="Times New Roman"/>
          <w:sz w:val="18"/>
          <w:szCs w:val="18"/>
        </w:rPr>
      </w:pPr>
      <w:r w:rsidRPr="008625C6">
        <w:rPr>
          <w:rFonts w:ascii="Times New Roman" w:hAnsi="Times New Roman" w:cs="Times New Roman"/>
          <w:sz w:val="18"/>
          <w:szCs w:val="18"/>
        </w:rPr>
        <w:t>Correspondence regarding this manuscript should be directed to:</w:t>
      </w:r>
    </w:p>
    <w:p w:rsidR="008625C6" w:rsidRDefault="00E8492B" w:rsidP="00124841">
      <w:pPr>
        <w:spacing w:line="480" w:lineRule="auto"/>
        <w:contextualSpacing/>
        <w:jc w:val="center"/>
        <w:rPr>
          <w:rFonts w:ascii="Times New Roman" w:hAnsi="Times New Roman" w:cs="Times New Roman"/>
          <w:sz w:val="18"/>
          <w:szCs w:val="18"/>
        </w:rPr>
      </w:pPr>
      <w:r w:rsidRPr="008625C6">
        <w:rPr>
          <w:rFonts w:ascii="Times New Roman" w:hAnsi="Times New Roman" w:cs="Times New Roman"/>
          <w:sz w:val="18"/>
          <w:szCs w:val="18"/>
        </w:rPr>
        <w:t>Christine A. Stephan, RDH, BS</w:t>
      </w:r>
    </w:p>
    <w:p w:rsidR="008625C6" w:rsidRDefault="008625C6" w:rsidP="008625C6">
      <w:pPr>
        <w:spacing w:line="480" w:lineRule="auto"/>
        <w:contextualSpacing/>
        <w:jc w:val="center"/>
        <w:rPr>
          <w:rFonts w:ascii="Times New Roman" w:hAnsi="Times New Roman" w:cs="Times New Roman"/>
          <w:sz w:val="18"/>
          <w:szCs w:val="18"/>
        </w:rPr>
      </w:pPr>
      <w:r>
        <w:rPr>
          <w:rFonts w:ascii="Times New Roman" w:hAnsi="Times New Roman" w:cs="Times New Roman"/>
          <w:sz w:val="18"/>
          <w:szCs w:val="18"/>
        </w:rPr>
        <w:t>Department of Dental Education</w:t>
      </w:r>
    </w:p>
    <w:p w:rsidR="008625C6" w:rsidRDefault="008625C6" w:rsidP="008625C6">
      <w:pPr>
        <w:spacing w:line="480" w:lineRule="auto"/>
        <w:contextualSpacing/>
        <w:jc w:val="center"/>
        <w:rPr>
          <w:rFonts w:ascii="Times New Roman" w:hAnsi="Times New Roman" w:cs="Times New Roman"/>
          <w:sz w:val="18"/>
          <w:szCs w:val="18"/>
        </w:rPr>
      </w:pPr>
      <w:r>
        <w:rPr>
          <w:rFonts w:ascii="Times New Roman" w:hAnsi="Times New Roman" w:cs="Times New Roman"/>
          <w:sz w:val="18"/>
          <w:szCs w:val="18"/>
        </w:rPr>
        <w:t>2101 E. Coliseum Blvd, Neff Hall, Room 150</w:t>
      </w:r>
    </w:p>
    <w:p w:rsidR="008625C6" w:rsidRDefault="008625C6" w:rsidP="00124841">
      <w:pPr>
        <w:spacing w:line="480" w:lineRule="auto"/>
        <w:contextualSpacing/>
        <w:jc w:val="center"/>
        <w:rPr>
          <w:rFonts w:ascii="Times New Roman" w:hAnsi="Times New Roman" w:cs="Times New Roman"/>
          <w:sz w:val="18"/>
          <w:szCs w:val="18"/>
        </w:rPr>
      </w:pPr>
      <w:r>
        <w:rPr>
          <w:rFonts w:ascii="Times New Roman" w:hAnsi="Times New Roman" w:cs="Times New Roman"/>
          <w:sz w:val="18"/>
          <w:szCs w:val="18"/>
        </w:rPr>
        <w:t>Fort Wayne, IN  46805-1499</w:t>
      </w:r>
    </w:p>
    <w:p w:rsidR="002D7217" w:rsidRDefault="008625C6" w:rsidP="00124841">
      <w:pPr>
        <w:spacing w:line="480" w:lineRule="auto"/>
        <w:contextualSpacing/>
        <w:jc w:val="center"/>
        <w:rPr>
          <w:rFonts w:ascii="Times New Roman" w:hAnsi="Times New Roman" w:cs="Times New Roman"/>
          <w:sz w:val="18"/>
          <w:szCs w:val="24"/>
        </w:rPr>
      </w:pPr>
      <w:hyperlink r:id="rId9" w:history="1">
        <w:r w:rsidRPr="00476FEC">
          <w:rPr>
            <w:rStyle w:val="Hyperlink"/>
            <w:rFonts w:ascii="Times New Roman" w:hAnsi="Times New Roman" w:cs="Times New Roman"/>
            <w:sz w:val="18"/>
            <w:szCs w:val="24"/>
          </w:rPr>
          <w:t>stephanc@ipfw.edu</w:t>
        </w:r>
      </w:hyperlink>
    </w:p>
    <w:p w:rsidR="008625C6" w:rsidRDefault="008625C6" w:rsidP="00124841">
      <w:pPr>
        <w:spacing w:line="480" w:lineRule="auto"/>
        <w:contextualSpacing/>
        <w:jc w:val="center"/>
        <w:rPr>
          <w:rFonts w:ascii="Times New Roman" w:hAnsi="Times New Roman" w:cs="Times New Roman"/>
          <w:sz w:val="18"/>
          <w:szCs w:val="24"/>
        </w:rPr>
      </w:pPr>
      <w:r>
        <w:rPr>
          <w:rFonts w:ascii="Times New Roman" w:hAnsi="Times New Roman" w:cs="Times New Roman"/>
          <w:sz w:val="18"/>
          <w:szCs w:val="24"/>
        </w:rPr>
        <w:t>260-437-9051</w:t>
      </w:r>
    </w:p>
    <w:p w:rsidR="00124841" w:rsidRPr="004F6BAB" w:rsidRDefault="00124841" w:rsidP="00124841">
      <w:pPr>
        <w:spacing w:line="480" w:lineRule="auto"/>
        <w:contextualSpacing/>
        <w:rPr>
          <w:rFonts w:ascii="Times New Roman" w:hAnsi="Times New Roman" w:cs="Times New Roman"/>
          <w:b/>
          <w:sz w:val="24"/>
          <w:szCs w:val="24"/>
        </w:rPr>
      </w:pPr>
      <w:bookmarkStart w:id="0" w:name="_GoBack"/>
      <w:bookmarkEnd w:id="0"/>
      <w:r w:rsidRPr="004F6BAB">
        <w:rPr>
          <w:rFonts w:ascii="Times New Roman" w:hAnsi="Times New Roman" w:cs="Times New Roman"/>
          <w:b/>
          <w:sz w:val="24"/>
          <w:szCs w:val="24"/>
        </w:rPr>
        <w:lastRenderedPageBreak/>
        <w:t>A Pilot Study: An Evaluation of Periodontal Assessment Procedures Among Indiana Dental Hygienists</w:t>
      </w:r>
    </w:p>
    <w:p w:rsidR="007B20D8" w:rsidRDefault="00C32599" w:rsidP="00124841">
      <w:pPr>
        <w:spacing w:line="480" w:lineRule="auto"/>
        <w:contextualSpacing/>
        <w:rPr>
          <w:rFonts w:ascii="Times New Roman" w:hAnsi="Times New Roman" w:cs="Times New Roman"/>
          <w:sz w:val="24"/>
        </w:rPr>
      </w:pPr>
      <w:r w:rsidRPr="00C32599">
        <w:rPr>
          <w:rFonts w:ascii="Times New Roman" w:hAnsi="Times New Roman" w:cs="Times New Roman"/>
          <w:i/>
          <w:sz w:val="24"/>
        </w:rPr>
        <w:t>Abstract</w:t>
      </w:r>
    </w:p>
    <w:p w:rsidR="000955AF" w:rsidRPr="00E02A3B" w:rsidRDefault="006B0266" w:rsidP="000955AF">
      <w:pPr>
        <w:spacing w:line="480" w:lineRule="auto"/>
        <w:contextualSpacing/>
        <w:rPr>
          <w:rFonts w:ascii="Times New Roman" w:hAnsi="Times New Roman" w:cs="Times New Roman"/>
          <w:sz w:val="24"/>
        </w:rPr>
      </w:pPr>
      <w:r>
        <w:rPr>
          <w:rFonts w:ascii="Times New Roman" w:hAnsi="Times New Roman" w:cs="Times New Roman"/>
          <w:sz w:val="24"/>
        </w:rPr>
        <w:t xml:space="preserve">Using a descriptive correlational design, this </w:t>
      </w:r>
      <w:r w:rsidR="00831001" w:rsidRPr="00831001">
        <w:rPr>
          <w:rFonts w:ascii="Times New Roman" w:hAnsi="Times New Roman" w:cs="Times New Roman"/>
          <w:sz w:val="24"/>
        </w:rPr>
        <w:t xml:space="preserve">study surveyed </w:t>
      </w:r>
      <w:r w:rsidR="00C32599" w:rsidRPr="00831001">
        <w:rPr>
          <w:rFonts w:ascii="Times New Roman" w:hAnsi="Times New Roman" w:cs="Times New Roman"/>
          <w:sz w:val="24"/>
        </w:rPr>
        <w:t xml:space="preserve">periodontal assessment procedures </w:t>
      </w:r>
      <w:r w:rsidR="00826539" w:rsidRPr="00831001">
        <w:rPr>
          <w:rFonts w:ascii="Times New Roman" w:hAnsi="Times New Roman" w:cs="Times New Roman"/>
          <w:sz w:val="24"/>
        </w:rPr>
        <w:t xml:space="preserve">currently </w:t>
      </w:r>
      <w:r>
        <w:rPr>
          <w:rFonts w:ascii="Times New Roman" w:hAnsi="Times New Roman" w:cs="Times New Roman"/>
          <w:sz w:val="24"/>
        </w:rPr>
        <w:t>performed</w:t>
      </w:r>
      <w:r w:rsidRPr="00831001">
        <w:rPr>
          <w:rFonts w:ascii="Times New Roman" w:hAnsi="Times New Roman" w:cs="Times New Roman"/>
          <w:sz w:val="24"/>
        </w:rPr>
        <w:t xml:space="preserve"> </w:t>
      </w:r>
      <w:r w:rsidR="00124841" w:rsidRPr="00831001">
        <w:rPr>
          <w:rFonts w:ascii="Times New Roman" w:hAnsi="Times New Roman" w:cs="Times New Roman"/>
          <w:sz w:val="24"/>
        </w:rPr>
        <w:t>by Ind</w:t>
      </w:r>
      <w:r w:rsidR="00FE5B17" w:rsidRPr="00831001">
        <w:rPr>
          <w:rFonts w:ascii="Times New Roman" w:hAnsi="Times New Roman" w:cs="Times New Roman"/>
          <w:sz w:val="24"/>
        </w:rPr>
        <w:t>iana dental hygienists</w:t>
      </w:r>
      <w:r w:rsidR="002D0E04">
        <w:rPr>
          <w:rFonts w:ascii="Times New Roman" w:hAnsi="Times New Roman" w:cs="Times New Roman"/>
          <w:sz w:val="24"/>
        </w:rPr>
        <w:t xml:space="preserve"> in general dentistry practices</w:t>
      </w:r>
      <w:r>
        <w:rPr>
          <w:rFonts w:ascii="Times New Roman" w:hAnsi="Times New Roman" w:cs="Times New Roman"/>
          <w:sz w:val="24"/>
        </w:rPr>
        <w:t xml:space="preserve"> </w:t>
      </w:r>
      <w:r w:rsidR="00831001" w:rsidRPr="00831001">
        <w:rPr>
          <w:rFonts w:ascii="Times New Roman" w:hAnsi="Times New Roman" w:cs="Times New Roman"/>
          <w:sz w:val="24"/>
        </w:rPr>
        <w:t>to reveal</w:t>
      </w:r>
      <w:r w:rsidR="004F6BAB" w:rsidRPr="00831001">
        <w:rPr>
          <w:rFonts w:ascii="Times New Roman" w:hAnsi="Times New Roman" w:cs="Times New Roman"/>
          <w:sz w:val="24"/>
        </w:rPr>
        <w:t xml:space="preserve"> </w:t>
      </w:r>
      <w:r w:rsidR="00826539" w:rsidRPr="00831001">
        <w:rPr>
          <w:rFonts w:ascii="Times New Roman" w:hAnsi="Times New Roman" w:cs="Times New Roman"/>
          <w:sz w:val="24"/>
        </w:rPr>
        <w:t xml:space="preserve">if </w:t>
      </w:r>
      <w:r w:rsidR="004F6BAB" w:rsidRPr="00831001">
        <w:rPr>
          <w:rFonts w:ascii="Times New Roman" w:hAnsi="Times New Roman" w:cs="Times New Roman"/>
          <w:sz w:val="24"/>
        </w:rPr>
        <w:t>deficiencies</w:t>
      </w:r>
      <w:r w:rsidR="00826539" w:rsidRPr="00831001">
        <w:rPr>
          <w:rFonts w:ascii="Times New Roman" w:hAnsi="Times New Roman" w:cs="Times New Roman"/>
          <w:sz w:val="24"/>
        </w:rPr>
        <w:t xml:space="preserve"> in </w:t>
      </w:r>
      <w:r w:rsidR="0038034F">
        <w:rPr>
          <w:rFonts w:ascii="Times New Roman" w:hAnsi="Times New Roman" w:cs="Times New Roman"/>
          <w:sz w:val="24"/>
        </w:rPr>
        <w:t xml:space="preserve">assessment </w:t>
      </w:r>
      <w:r w:rsidR="00826539" w:rsidRPr="00831001">
        <w:rPr>
          <w:rFonts w:ascii="Times New Roman" w:hAnsi="Times New Roman" w:cs="Times New Roman"/>
          <w:sz w:val="24"/>
        </w:rPr>
        <w:t>exist</w:t>
      </w:r>
      <w:r>
        <w:rPr>
          <w:rFonts w:ascii="Times New Roman" w:hAnsi="Times New Roman" w:cs="Times New Roman"/>
          <w:sz w:val="24"/>
        </w:rPr>
        <w:t>.</w:t>
      </w:r>
      <w:r w:rsidR="004F6BAB" w:rsidRPr="00831001">
        <w:rPr>
          <w:rFonts w:ascii="Times New Roman" w:hAnsi="Times New Roman" w:cs="Times New Roman"/>
          <w:sz w:val="24"/>
        </w:rPr>
        <w:t xml:space="preserve"> </w:t>
      </w:r>
      <w:r w:rsidR="00FE5B17" w:rsidRPr="00831001">
        <w:rPr>
          <w:rFonts w:ascii="Times New Roman" w:hAnsi="Times New Roman" w:cs="Times New Roman"/>
          <w:sz w:val="24"/>
        </w:rPr>
        <w:t>M</w:t>
      </w:r>
      <w:r w:rsidR="00C32599" w:rsidRPr="00831001">
        <w:rPr>
          <w:rFonts w:ascii="Times New Roman" w:hAnsi="Times New Roman" w:cs="Times New Roman"/>
          <w:sz w:val="24"/>
        </w:rPr>
        <w:t xml:space="preserve">embers </w:t>
      </w:r>
      <w:r w:rsidR="00826539" w:rsidRPr="00831001">
        <w:rPr>
          <w:rFonts w:ascii="Times New Roman" w:hAnsi="Times New Roman" w:cs="Times New Roman"/>
          <w:sz w:val="24"/>
        </w:rPr>
        <w:t xml:space="preserve">(n=354) </w:t>
      </w:r>
      <w:r w:rsidR="00C32599" w:rsidRPr="00831001">
        <w:rPr>
          <w:rFonts w:ascii="Times New Roman" w:hAnsi="Times New Roman" w:cs="Times New Roman"/>
          <w:sz w:val="24"/>
        </w:rPr>
        <w:t xml:space="preserve">of the Indiana Dental Hygienists’ Association </w:t>
      </w:r>
      <w:r w:rsidR="00826539" w:rsidRPr="00831001">
        <w:rPr>
          <w:rFonts w:ascii="Times New Roman" w:hAnsi="Times New Roman" w:cs="Times New Roman"/>
          <w:sz w:val="24"/>
        </w:rPr>
        <w:t xml:space="preserve">(IDHA) </w:t>
      </w:r>
      <w:r w:rsidR="00FE5B17" w:rsidRPr="00831001">
        <w:rPr>
          <w:rFonts w:ascii="Times New Roman" w:hAnsi="Times New Roman" w:cs="Times New Roman"/>
          <w:sz w:val="24"/>
        </w:rPr>
        <w:t>were invited to participate in</w:t>
      </w:r>
      <w:r>
        <w:rPr>
          <w:rFonts w:ascii="Times New Roman" w:hAnsi="Times New Roman" w:cs="Times New Roman"/>
          <w:sz w:val="24"/>
        </w:rPr>
        <w:t xml:space="preserve"> </w:t>
      </w:r>
      <w:r w:rsidR="00FE5B17" w:rsidRPr="00831001">
        <w:rPr>
          <w:rFonts w:ascii="Times New Roman" w:hAnsi="Times New Roman" w:cs="Times New Roman"/>
          <w:sz w:val="24"/>
        </w:rPr>
        <w:t>the survey</w:t>
      </w:r>
      <w:r w:rsidR="00826539" w:rsidRPr="00831001">
        <w:rPr>
          <w:rFonts w:ascii="Times New Roman" w:hAnsi="Times New Roman" w:cs="Times New Roman"/>
          <w:sz w:val="24"/>
        </w:rPr>
        <w:t>.</w:t>
      </w:r>
      <w:r w:rsidR="00831001" w:rsidRPr="00831001">
        <w:rPr>
          <w:rFonts w:ascii="Times New Roman" w:hAnsi="Times New Roman" w:cs="Times New Roman"/>
          <w:sz w:val="24"/>
        </w:rPr>
        <w:t xml:space="preserve">  </w:t>
      </w:r>
      <w:r w:rsidR="00F1398B" w:rsidRPr="006B0266">
        <w:rPr>
          <w:rFonts w:ascii="Times New Roman" w:hAnsi="Times New Roman" w:cs="Times New Roman"/>
          <w:sz w:val="24"/>
        </w:rPr>
        <w:t>A</w:t>
      </w:r>
      <w:r w:rsidR="00F1398B">
        <w:rPr>
          <w:rFonts w:ascii="Times New Roman" w:hAnsi="Times New Roman" w:cs="Times New Roman"/>
          <w:sz w:val="24"/>
        </w:rPr>
        <w:t xml:space="preserve"> </w:t>
      </w:r>
      <w:r w:rsidR="00704DA2" w:rsidRPr="00831001">
        <w:rPr>
          <w:rFonts w:ascii="Times New Roman" w:hAnsi="Times New Roman" w:cs="Times New Roman"/>
          <w:sz w:val="24"/>
        </w:rPr>
        <w:t xml:space="preserve">twenty-two </w:t>
      </w:r>
      <w:r w:rsidR="00826539" w:rsidRPr="00831001">
        <w:rPr>
          <w:rFonts w:ascii="Times New Roman" w:hAnsi="Times New Roman" w:cs="Times New Roman"/>
          <w:sz w:val="24"/>
        </w:rPr>
        <w:t xml:space="preserve">multiple choice </w:t>
      </w:r>
      <w:r w:rsidR="00704DA2" w:rsidRPr="00831001">
        <w:rPr>
          <w:rFonts w:ascii="Times New Roman" w:hAnsi="Times New Roman" w:cs="Times New Roman"/>
          <w:sz w:val="24"/>
        </w:rPr>
        <w:t>question survey</w:t>
      </w:r>
      <w:r w:rsidR="0038034F">
        <w:rPr>
          <w:rFonts w:ascii="Times New Roman" w:hAnsi="Times New Roman" w:cs="Times New Roman"/>
          <w:sz w:val="24"/>
        </w:rPr>
        <w:t>,</w:t>
      </w:r>
      <w:r w:rsidR="00704DA2" w:rsidRPr="00831001">
        <w:rPr>
          <w:rFonts w:ascii="Times New Roman" w:hAnsi="Times New Roman" w:cs="Times New Roman"/>
          <w:sz w:val="24"/>
        </w:rPr>
        <w:t xml:space="preserve"> </w:t>
      </w:r>
      <w:r w:rsidR="00831001" w:rsidRPr="00831001">
        <w:rPr>
          <w:rFonts w:ascii="Times New Roman" w:hAnsi="Times New Roman" w:cs="Times New Roman"/>
          <w:sz w:val="24"/>
        </w:rPr>
        <w:t>u</w:t>
      </w:r>
      <w:r>
        <w:rPr>
          <w:rFonts w:ascii="Times New Roman" w:hAnsi="Times New Roman" w:cs="Times New Roman"/>
          <w:sz w:val="24"/>
        </w:rPr>
        <w:t>sing</w:t>
      </w:r>
      <w:r w:rsidR="00826539" w:rsidRPr="00831001">
        <w:rPr>
          <w:rFonts w:ascii="Times New Roman" w:hAnsi="Times New Roman" w:cs="Times New Roman"/>
          <w:sz w:val="24"/>
        </w:rPr>
        <w:t xml:space="preserve"> </w:t>
      </w:r>
      <w:proofErr w:type="spellStart"/>
      <w:r w:rsidR="004F6BAB" w:rsidRPr="00831001">
        <w:rPr>
          <w:rFonts w:ascii="Times New Roman" w:hAnsi="Times New Roman" w:cs="Times New Roman"/>
          <w:sz w:val="24"/>
        </w:rPr>
        <w:t>Likert</w:t>
      </w:r>
      <w:proofErr w:type="spellEnd"/>
      <w:r w:rsidR="004F6BAB" w:rsidRPr="00831001">
        <w:rPr>
          <w:rFonts w:ascii="Times New Roman" w:hAnsi="Times New Roman" w:cs="Times New Roman"/>
          <w:sz w:val="24"/>
        </w:rPr>
        <w:t xml:space="preserve"> scale</w:t>
      </w:r>
      <w:r>
        <w:rPr>
          <w:rFonts w:ascii="Times New Roman" w:hAnsi="Times New Roman" w:cs="Times New Roman"/>
          <w:sz w:val="24"/>
        </w:rPr>
        <w:t>s</w:t>
      </w:r>
      <w:r w:rsidR="004F6BAB" w:rsidRPr="00831001">
        <w:rPr>
          <w:rFonts w:ascii="Times New Roman" w:hAnsi="Times New Roman" w:cs="Times New Roman"/>
          <w:sz w:val="24"/>
        </w:rPr>
        <w:t xml:space="preserve"> </w:t>
      </w:r>
      <w:r w:rsidR="00826539" w:rsidRPr="00831001">
        <w:rPr>
          <w:rFonts w:ascii="Times New Roman" w:hAnsi="Times New Roman" w:cs="Times New Roman"/>
          <w:sz w:val="24"/>
        </w:rPr>
        <w:t xml:space="preserve">for </w:t>
      </w:r>
      <w:r w:rsidR="004F6BAB" w:rsidRPr="00831001">
        <w:rPr>
          <w:rFonts w:ascii="Times New Roman" w:hAnsi="Times New Roman" w:cs="Times New Roman"/>
          <w:sz w:val="24"/>
        </w:rPr>
        <w:t>responses</w:t>
      </w:r>
      <w:r w:rsidR="0038034F">
        <w:rPr>
          <w:rFonts w:ascii="Times New Roman" w:hAnsi="Times New Roman" w:cs="Times New Roman"/>
          <w:sz w:val="24"/>
        </w:rPr>
        <w:t>,</w:t>
      </w:r>
      <w:r w:rsidR="004F6BAB" w:rsidRPr="00831001">
        <w:rPr>
          <w:rFonts w:ascii="Times New Roman" w:hAnsi="Times New Roman" w:cs="Times New Roman"/>
          <w:sz w:val="24"/>
        </w:rPr>
        <w:t xml:space="preserve"> was open to participants for three weeks. </w:t>
      </w:r>
      <w:r w:rsidR="00826539" w:rsidRPr="00831001">
        <w:rPr>
          <w:rFonts w:ascii="Times New Roman" w:hAnsi="Times New Roman" w:cs="Times New Roman"/>
          <w:sz w:val="24"/>
        </w:rPr>
        <w:t>Descriptive and non-parametric inferen</w:t>
      </w:r>
      <w:r>
        <w:rPr>
          <w:rFonts w:ascii="Times New Roman" w:hAnsi="Times New Roman" w:cs="Times New Roman"/>
          <w:sz w:val="24"/>
        </w:rPr>
        <w:t xml:space="preserve">tial statistics analyzed </w:t>
      </w:r>
      <w:r w:rsidR="00826539" w:rsidRPr="00831001">
        <w:rPr>
          <w:rFonts w:ascii="Times New Roman" w:hAnsi="Times New Roman" w:cs="Times New Roman"/>
          <w:sz w:val="24"/>
        </w:rPr>
        <w:t>questions related to demographics and assessment procedures practiced</w:t>
      </w:r>
      <w:r w:rsidR="00831001" w:rsidRPr="00831001">
        <w:rPr>
          <w:rFonts w:ascii="Times New Roman" w:hAnsi="Times New Roman" w:cs="Times New Roman"/>
          <w:sz w:val="24"/>
        </w:rPr>
        <w:t>. In addition,</w:t>
      </w:r>
      <w:r w:rsidR="00826539" w:rsidRPr="00831001">
        <w:rPr>
          <w:rFonts w:ascii="Times New Roman" w:hAnsi="Times New Roman" w:cs="Times New Roman"/>
          <w:sz w:val="24"/>
        </w:rPr>
        <w:t xml:space="preserve"> an</w:t>
      </w:r>
      <w:r w:rsidR="00831001" w:rsidRPr="00831001">
        <w:rPr>
          <w:rFonts w:ascii="Times New Roman" w:hAnsi="Times New Roman" w:cs="Times New Roman"/>
          <w:sz w:val="24"/>
        </w:rPr>
        <w:t xml:space="preserve"> evaluation of the awareness of </w:t>
      </w:r>
      <w:r w:rsidR="00826539" w:rsidRPr="00831001">
        <w:rPr>
          <w:rFonts w:ascii="Times New Roman" w:hAnsi="Times New Roman" w:cs="Times New Roman"/>
          <w:sz w:val="24"/>
        </w:rPr>
        <w:t>periodontal assessment procedures recommended by the American Academy of Peri</w:t>
      </w:r>
      <w:r w:rsidR="00E02A3B">
        <w:rPr>
          <w:rFonts w:ascii="Times New Roman" w:hAnsi="Times New Roman" w:cs="Times New Roman"/>
          <w:sz w:val="24"/>
        </w:rPr>
        <w:t xml:space="preserve">odontology (AAP) was examined.  </w:t>
      </w:r>
      <w:r w:rsidR="00D70CD6">
        <w:rPr>
          <w:rFonts w:ascii="Times New Roman" w:hAnsi="Times New Roman" w:cs="Times New Roman"/>
          <w:sz w:val="24"/>
        </w:rPr>
        <w:t xml:space="preserve">Of the 354 Indiana dental </w:t>
      </w:r>
      <w:r w:rsidR="00E02A3B">
        <w:rPr>
          <w:rFonts w:ascii="Times New Roman" w:hAnsi="Times New Roman" w:cs="Times New Roman"/>
          <w:sz w:val="24"/>
        </w:rPr>
        <w:t>hygienists surveyed</w:t>
      </w:r>
      <w:r w:rsidR="002D0E04">
        <w:rPr>
          <w:rFonts w:ascii="Times New Roman" w:hAnsi="Times New Roman" w:cs="Times New Roman"/>
          <w:sz w:val="24"/>
        </w:rPr>
        <w:t>,</w:t>
      </w:r>
      <w:r w:rsidR="00E02A3B">
        <w:rPr>
          <w:rFonts w:ascii="Times New Roman" w:hAnsi="Times New Roman" w:cs="Times New Roman"/>
          <w:sz w:val="24"/>
        </w:rPr>
        <w:t xml:space="preserve"> a </w:t>
      </w:r>
      <w:r w:rsidR="00D70CD6">
        <w:rPr>
          <w:rFonts w:ascii="Times New Roman" w:hAnsi="Times New Roman" w:cs="Times New Roman"/>
          <w:sz w:val="24"/>
        </w:rPr>
        <w:t>31.9% re</w:t>
      </w:r>
      <w:r w:rsidR="00E02A3B">
        <w:rPr>
          <w:rFonts w:ascii="Times New Roman" w:hAnsi="Times New Roman" w:cs="Times New Roman"/>
          <w:sz w:val="24"/>
        </w:rPr>
        <w:t xml:space="preserve">sponse rate was achieved.  </w:t>
      </w:r>
      <w:r w:rsidR="00D70CD6">
        <w:rPr>
          <w:rFonts w:ascii="Times New Roman" w:hAnsi="Times New Roman" w:cs="Times New Roman"/>
          <w:sz w:val="24"/>
        </w:rPr>
        <w:t xml:space="preserve">Participants were asked to identify the </w:t>
      </w:r>
      <w:r w:rsidR="00E02A3B">
        <w:rPr>
          <w:rFonts w:ascii="Times New Roman" w:hAnsi="Times New Roman" w:cs="Times New Roman"/>
          <w:sz w:val="24"/>
        </w:rPr>
        <w:t xml:space="preserve">recommended AAP </w:t>
      </w:r>
      <w:r w:rsidR="00D70CD6">
        <w:rPr>
          <w:rFonts w:ascii="Times New Roman" w:hAnsi="Times New Roman" w:cs="Times New Roman"/>
          <w:sz w:val="24"/>
        </w:rPr>
        <w:t>pe</w:t>
      </w:r>
      <w:r w:rsidR="000955AF">
        <w:rPr>
          <w:rFonts w:ascii="Times New Roman" w:hAnsi="Times New Roman" w:cs="Times New Roman"/>
          <w:sz w:val="24"/>
        </w:rPr>
        <w:t>riodontal assessment procedures</w:t>
      </w:r>
      <w:r w:rsidR="00E02A3B">
        <w:rPr>
          <w:rFonts w:ascii="Times New Roman" w:hAnsi="Times New Roman" w:cs="Times New Roman"/>
          <w:sz w:val="24"/>
        </w:rPr>
        <w:t xml:space="preserve"> </w:t>
      </w:r>
      <w:r w:rsidR="000955AF">
        <w:rPr>
          <w:rFonts w:ascii="Times New Roman" w:hAnsi="Times New Roman" w:cs="Times New Roman"/>
          <w:sz w:val="24"/>
        </w:rPr>
        <w:t>they perform</w:t>
      </w:r>
      <w:r w:rsidR="00790988">
        <w:rPr>
          <w:rFonts w:ascii="Times New Roman" w:hAnsi="Times New Roman" w:cs="Times New Roman"/>
          <w:sz w:val="24"/>
        </w:rPr>
        <w:t xml:space="preserve">. </w:t>
      </w:r>
      <w:r w:rsidR="00D70CD6">
        <w:rPr>
          <w:rFonts w:ascii="Times New Roman" w:hAnsi="Times New Roman" w:cs="Times New Roman"/>
          <w:sz w:val="24"/>
        </w:rPr>
        <w:t xml:space="preserve">The </w:t>
      </w:r>
      <w:r w:rsidR="00D70CD6" w:rsidRPr="006B0266">
        <w:rPr>
          <w:rFonts w:ascii="Times New Roman" w:hAnsi="Times New Roman" w:cs="Times New Roman"/>
          <w:sz w:val="24"/>
        </w:rPr>
        <w:t>majorit</w:t>
      </w:r>
      <w:r w:rsidR="00E02A3B" w:rsidRPr="006B0266">
        <w:rPr>
          <w:rFonts w:ascii="Times New Roman" w:hAnsi="Times New Roman" w:cs="Times New Roman"/>
          <w:sz w:val="24"/>
        </w:rPr>
        <w:t xml:space="preserve">y of respondents indicated </w:t>
      </w:r>
      <w:r w:rsidR="00D70CD6" w:rsidRPr="006B0266">
        <w:rPr>
          <w:rFonts w:ascii="Times New Roman" w:hAnsi="Times New Roman" w:cs="Times New Roman"/>
          <w:sz w:val="24"/>
        </w:rPr>
        <w:t>eithe</w:t>
      </w:r>
      <w:r w:rsidR="00E02A3B" w:rsidRPr="006B0266">
        <w:rPr>
          <w:rFonts w:ascii="Times New Roman" w:hAnsi="Times New Roman" w:cs="Times New Roman"/>
          <w:sz w:val="24"/>
        </w:rPr>
        <w:t>r frequently or always performing</w:t>
      </w:r>
      <w:r w:rsidR="00D70CD6" w:rsidRPr="006B0266">
        <w:rPr>
          <w:rFonts w:ascii="Times New Roman" w:hAnsi="Times New Roman" w:cs="Times New Roman"/>
          <w:sz w:val="24"/>
        </w:rPr>
        <w:t xml:space="preserve"> the </w:t>
      </w:r>
      <w:r w:rsidR="000B28AC">
        <w:rPr>
          <w:rFonts w:ascii="Times New Roman" w:hAnsi="Times New Roman" w:cs="Times New Roman"/>
          <w:sz w:val="24"/>
        </w:rPr>
        <w:t xml:space="preserve">listed </w:t>
      </w:r>
      <w:r w:rsidR="00D70CD6" w:rsidRPr="006B0266">
        <w:rPr>
          <w:rFonts w:ascii="Times New Roman" w:hAnsi="Times New Roman" w:cs="Times New Roman"/>
          <w:sz w:val="24"/>
        </w:rPr>
        <w:t>assessment procedure</w:t>
      </w:r>
      <w:r w:rsidR="000B28AC">
        <w:rPr>
          <w:rFonts w:ascii="Times New Roman" w:hAnsi="Times New Roman" w:cs="Times New Roman"/>
          <w:sz w:val="24"/>
        </w:rPr>
        <w:t>s</w:t>
      </w:r>
      <w:r w:rsidRPr="006B0266">
        <w:rPr>
          <w:rFonts w:ascii="Times New Roman" w:hAnsi="Times New Roman" w:cs="Times New Roman"/>
          <w:sz w:val="24"/>
        </w:rPr>
        <w:t xml:space="preserve">. </w:t>
      </w:r>
      <w:r w:rsidR="000B28AC">
        <w:rPr>
          <w:rFonts w:ascii="Times New Roman" w:hAnsi="Times New Roman" w:cs="Times New Roman"/>
          <w:sz w:val="24"/>
        </w:rPr>
        <w:t xml:space="preserve"> Additionally, s</w:t>
      </w:r>
      <w:r w:rsidR="00D70CD6" w:rsidRPr="006B0266">
        <w:rPr>
          <w:rFonts w:ascii="Times New Roman" w:hAnsi="Times New Roman" w:cs="Times New Roman"/>
          <w:sz w:val="24"/>
        </w:rPr>
        <w:t>ignificant relationships were found between demographic factors</w:t>
      </w:r>
      <w:r w:rsidR="00790988" w:rsidRPr="006B0266">
        <w:rPr>
          <w:rFonts w:ascii="Times New Roman" w:hAnsi="Times New Roman" w:cs="Times New Roman"/>
          <w:sz w:val="24"/>
        </w:rPr>
        <w:t xml:space="preserve"> </w:t>
      </w:r>
      <w:r w:rsidRPr="006B0266">
        <w:rPr>
          <w:rFonts w:ascii="Times New Roman" w:hAnsi="Times New Roman" w:cs="Times New Roman"/>
          <w:sz w:val="24"/>
        </w:rPr>
        <w:t xml:space="preserve">and </w:t>
      </w:r>
      <w:r w:rsidR="002D0E04">
        <w:rPr>
          <w:rFonts w:ascii="Times New Roman" w:hAnsi="Times New Roman" w:cs="Times New Roman"/>
          <w:sz w:val="24"/>
        </w:rPr>
        <w:t>participants’ awareness</w:t>
      </w:r>
      <w:r w:rsidR="000955AF" w:rsidRPr="006B0266">
        <w:rPr>
          <w:rFonts w:ascii="Times New Roman" w:hAnsi="Times New Roman" w:cs="Times New Roman"/>
          <w:sz w:val="24"/>
        </w:rPr>
        <w:t xml:space="preserve"> and performance of recommended AAP </w:t>
      </w:r>
      <w:r w:rsidR="00E02A3B" w:rsidRPr="006B0266">
        <w:rPr>
          <w:rFonts w:ascii="Times New Roman" w:hAnsi="Times New Roman" w:cs="Times New Roman"/>
          <w:sz w:val="24"/>
        </w:rPr>
        <w:t xml:space="preserve">assessment procedures.  </w:t>
      </w:r>
      <w:r w:rsidR="000955AF" w:rsidRPr="006B0266">
        <w:rPr>
          <w:rFonts w:ascii="Times New Roman" w:hAnsi="Times New Roman" w:cs="Times New Roman"/>
          <w:sz w:val="24"/>
        </w:rPr>
        <w:t xml:space="preserve">While information gathered from </w:t>
      </w:r>
      <w:r w:rsidRPr="006B0266">
        <w:rPr>
          <w:rFonts w:ascii="Times New Roman" w:hAnsi="Times New Roman" w:cs="Times New Roman"/>
          <w:sz w:val="24"/>
        </w:rPr>
        <w:t>this study</w:t>
      </w:r>
      <w:r w:rsidR="00790988" w:rsidRPr="006B0266">
        <w:rPr>
          <w:rFonts w:ascii="Times New Roman" w:hAnsi="Times New Roman" w:cs="Times New Roman"/>
          <w:sz w:val="24"/>
        </w:rPr>
        <w:t xml:space="preserve"> is </w:t>
      </w:r>
      <w:r w:rsidRPr="006B0266">
        <w:rPr>
          <w:rFonts w:ascii="Times New Roman" w:hAnsi="Times New Roman" w:cs="Times New Roman"/>
          <w:sz w:val="24"/>
        </w:rPr>
        <w:t xml:space="preserve">valuable to the </w:t>
      </w:r>
      <w:r w:rsidR="00790988" w:rsidRPr="006B0266">
        <w:rPr>
          <w:rFonts w:ascii="Times New Roman" w:hAnsi="Times New Roman" w:cs="Times New Roman"/>
          <w:sz w:val="24"/>
        </w:rPr>
        <w:t xml:space="preserve">body of </w:t>
      </w:r>
      <w:r w:rsidR="000955AF" w:rsidRPr="006B0266">
        <w:rPr>
          <w:rFonts w:ascii="Times New Roman" w:hAnsi="Times New Roman" w:cs="Times New Roman"/>
          <w:sz w:val="24"/>
        </w:rPr>
        <w:t>literature</w:t>
      </w:r>
      <w:r w:rsidR="000955AF">
        <w:rPr>
          <w:rFonts w:ascii="Times New Roman" w:hAnsi="Times New Roman" w:cs="Times New Roman"/>
          <w:sz w:val="24"/>
        </w:rPr>
        <w:t xml:space="preserve"> regarding periodontal disease assessment, </w:t>
      </w:r>
      <w:r w:rsidR="000B28AC">
        <w:rPr>
          <w:rFonts w:ascii="Times New Roman" w:hAnsi="Times New Roman" w:cs="Times New Roman"/>
          <w:sz w:val="24"/>
        </w:rPr>
        <w:t xml:space="preserve">continued research with </w:t>
      </w:r>
      <w:r w:rsidR="000955AF">
        <w:rPr>
          <w:rFonts w:ascii="Times New Roman" w:hAnsi="Times New Roman" w:cs="Times New Roman"/>
          <w:sz w:val="24"/>
        </w:rPr>
        <w:t xml:space="preserve">larger </w:t>
      </w:r>
      <w:r w:rsidR="000B28AC">
        <w:rPr>
          <w:rFonts w:ascii="Times New Roman" w:hAnsi="Times New Roman" w:cs="Times New Roman"/>
          <w:sz w:val="24"/>
        </w:rPr>
        <w:t xml:space="preserve">survey </w:t>
      </w:r>
      <w:r w:rsidR="000955AF">
        <w:rPr>
          <w:rFonts w:ascii="Times New Roman" w:hAnsi="Times New Roman" w:cs="Times New Roman"/>
          <w:sz w:val="24"/>
        </w:rPr>
        <w:t xml:space="preserve">studies </w:t>
      </w:r>
      <w:r w:rsidR="000B28AC">
        <w:rPr>
          <w:rFonts w:ascii="Times New Roman" w:hAnsi="Times New Roman" w:cs="Times New Roman"/>
          <w:sz w:val="24"/>
        </w:rPr>
        <w:t>should</w:t>
      </w:r>
      <w:r w:rsidR="000955AF">
        <w:rPr>
          <w:rFonts w:ascii="Times New Roman" w:hAnsi="Times New Roman" w:cs="Times New Roman"/>
          <w:sz w:val="24"/>
        </w:rPr>
        <w:t xml:space="preserve"> be conducted to</w:t>
      </w:r>
      <w:r w:rsidR="000955AF" w:rsidRPr="000955AF">
        <w:rPr>
          <w:rFonts w:ascii="Times New Roman" w:eastAsia="Calibri" w:hAnsi="Times New Roman" w:cs="Times New Roman"/>
          <w:sz w:val="24"/>
          <w:szCs w:val="24"/>
        </w:rPr>
        <w:t xml:space="preserve"> </w:t>
      </w:r>
      <w:r w:rsidR="000955AF">
        <w:rPr>
          <w:rFonts w:ascii="Times New Roman" w:eastAsia="Calibri" w:hAnsi="Times New Roman" w:cs="Times New Roman"/>
          <w:sz w:val="24"/>
          <w:szCs w:val="24"/>
        </w:rPr>
        <w:t xml:space="preserve">obtain a more accurate </w:t>
      </w:r>
      <w:r w:rsidR="000B28AC">
        <w:rPr>
          <w:rFonts w:ascii="Times New Roman" w:eastAsia="Calibri" w:hAnsi="Times New Roman" w:cs="Times New Roman"/>
          <w:sz w:val="24"/>
          <w:szCs w:val="24"/>
        </w:rPr>
        <w:t xml:space="preserve">national </w:t>
      </w:r>
      <w:r w:rsidR="000955AF">
        <w:rPr>
          <w:rFonts w:ascii="Times New Roman" w:eastAsia="Calibri" w:hAnsi="Times New Roman" w:cs="Times New Roman"/>
          <w:sz w:val="24"/>
          <w:szCs w:val="24"/>
        </w:rPr>
        <w:t>representation of what is bein</w:t>
      </w:r>
      <w:r w:rsidR="000B28AC">
        <w:rPr>
          <w:rFonts w:ascii="Times New Roman" w:eastAsia="Calibri" w:hAnsi="Times New Roman" w:cs="Times New Roman"/>
          <w:sz w:val="24"/>
          <w:szCs w:val="24"/>
        </w:rPr>
        <w:t>g practiced by dental hygienists</w:t>
      </w:r>
      <w:r w:rsidR="000955AF">
        <w:rPr>
          <w:rFonts w:ascii="Times New Roman" w:eastAsia="Calibri" w:hAnsi="Times New Roman" w:cs="Times New Roman"/>
          <w:sz w:val="24"/>
          <w:szCs w:val="24"/>
        </w:rPr>
        <w:t xml:space="preserve">. </w:t>
      </w:r>
    </w:p>
    <w:p w:rsidR="000955AF" w:rsidRDefault="000955AF" w:rsidP="000955AF">
      <w:pPr>
        <w:spacing w:line="480" w:lineRule="auto"/>
        <w:contextualSpacing/>
        <w:rPr>
          <w:rFonts w:ascii="Times New Roman" w:eastAsia="Calibri" w:hAnsi="Times New Roman" w:cs="Times New Roman"/>
          <w:sz w:val="24"/>
          <w:szCs w:val="24"/>
        </w:rPr>
      </w:pPr>
    </w:p>
    <w:p w:rsidR="00C32599" w:rsidRPr="00C32599" w:rsidRDefault="000955AF" w:rsidP="00E02A3B">
      <w:pPr>
        <w:spacing w:line="480" w:lineRule="auto"/>
        <w:contextualSpacing/>
        <w:rPr>
          <w:rFonts w:ascii="Times New Roman" w:hAnsi="Times New Roman" w:cs="Times New Roman"/>
          <w:sz w:val="24"/>
        </w:rPr>
      </w:pPr>
      <w:r>
        <w:rPr>
          <w:rFonts w:ascii="Times New Roman" w:hAnsi="Times New Roman" w:cs="Times New Roman"/>
          <w:sz w:val="24"/>
        </w:rPr>
        <w:t xml:space="preserve"> </w:t>
      </w:r>
      <w:r w:rsidR="00C32599" w:rsidRPr="00C32599">
        <w:rPr>
          <w:rFonts w:ascii="Times New Roman" w:hAnsi="Times New Roman" w:cs="Times New Roman"/>
          <w:i/>
          <w:sz w:val="24"/>
        </w:rPr>
        <w:t>Keywords</w:t>
      </w:r>
      <w:r w:rsidR="00E02A3B">
        <w:rPr>
          <w:rFonts w:ascii="Times New Roman" w:hAnsi="Times New Roman" w:cs="Times New Roman"/>
          <w:sz w:val="24"/>
        </w:rPr>
        <w:t>: periodontal diseases</w:t>
      </w:r>
      <w:r w:rsidR="00C32599">
        <w:rPr>
          <w:rFonts w:ascii="Times New Roman" w:hAnsi="Times New Roman" w:cs="Times New Roman"/>
          <w:sz w:val="24"/>
        </w:rPr>
        <w:t xml:space="preserve">, </w:t>
      </w:r>
      <w:r w:rsidR="00E02A3B">
        <w:rPr>
          <w:rFonts w:ascii="Times New Roman" w:hAnsi="Times New Roman" w:cs="Times New Roman"/>
          <w:sz w:val="24"/>
        </w:rPr>
        <w:t xml:space="preserve">periodontal pocket, risk assessment, dental hygienists, </w:t>
      </w:r>
      <w:r w:rsidR="00B87656">
        <w:rPr>
          <w:rFonts w:ascii="Times New Roman" w:hAnsi="Times New Roman" w:cs="Times New Roman"/>
          <w:sz w:val="24"/>
        </w:rPr>
        <w:t>periodontal index</w:t>
      </w:r>
    </w:p>
    <w:p w:rsidR="002D7217" w:rsidRPr="00557229" w:rsidRDefault="002D7217">
      <w:pPr>
        <w:rPr>
          <w:rFonts w:ascii="Times New Roman" w:hAnsi="Times New Roman" w:cs="Times New Roman"/>
          <w:b/>
          <w:sz w:val="24"/>
        </w:rPr>
      </w:pPr>
      <w:r w:rsidRPr="00557229">
        <w:rPr>
          <w:rFonts w:ascii="Times New Roman" w:hAnsi="Times New Roman" w:cs="Times New Roman"/>
          <w:b/>
          <w:sz w:val="24"/>
        </w:rPr>
        <w:lastRenderedPageBreak/>
        <w:t>INTRODUCTION</w:t>
      </w:r>
    </w:p>
    <w:p w:rsidR="00826539" w:rsidRPr="0038034F" w:rsidRDefault="00D5539E" w:rsidP="00826539">
      <w:pPr>
        <w:spacing w:line="480" w:lineRule="auto"/>
        <w:ind w:firstLine="720"/>
        <w:contextualSpacing/>
        <w:rPr>
          <w:rFonts w:ascii="Times New Roman" w:eastAsia="Calibri" w:hAnsi="Times New Roman" w:cs="Times New Roman"/>
          <w:sz w:val="24"/>
          <w:szCs w:val="16"/>
          <w:vertAlign w:val="superscript"/>
        </w:rPr>
      </w:pPr>
      <w:r w:rsidRPr="00831001">
        <w:rPr>
          <w:rFonts w:ascii="Times New Roman" w:eastAsia="Calibri" w:hAnsi="Times New Roman" w:cs="Times New Roman"/>
          <w:sz w:val="24"/>
          <w:szCs w:val="16"/>
        </w:rPr>
        <w:t xml:space="preserve">Dental hygienists and dentists have an ethical, moral, and legal obligation to accurately assess and diagnose patients’ periodontal health. To meet these professional responsibilities, the dental team </w:t>
      </w:r>
      <w:r w:rsidR="00A864B4">
        <w:rPr>
          <w:rFonts w:ascii="Times New Roman" w:eastAsia="Calibri" w:hAnsi="Times New Roman" w:cs="Times New Roman"/>
          <w:sz w:val="24"/>
          <w:szCs w:val="16"/>
        </w:rPr>
        <w:t>should</w:t>
      </w:r>
      <w:r w:rsidR="00826539" w:rsidRPr="00831001">
        <w:rPr>
          <w:rFonts w:ascii="Times New Roman" w:eastAsia="Calibri" w:hAnsi="Times New Roman" w:cs="Times New Roman"/>
          <w:sz w:val="24"/>
          <w:szCs w:val="16"/>
        </w:rPr>
        <w:t xml:space="preserve"> </w:t>
      </w:r>
      <w:r w:rsidRPr="00831001">
        <w:rPr>
          <w:rFonts w:ascii="Times New Roman" w:eastAsia="Calibri" w:hAnsi="Times New Roman" w:cs="Times New Roman"/>
          <w:sz w:val="24"/>
          <w:szCs w:val="16"/>
        </w:rPr>
        <w:t xml:space="preserve">thoroughly assess patients’ </w:t>
      </w:r>
      <w:r w:rsidR="00831001" w:rsidRPr="00831001">
        <w:rPr>
          <w:rFonts w:ascii="Times New Roman" w:eastAsia="Calibri" w:hAnsi="Times New Roman" w:cs="Times New Roman"/>
          <w:sz w:val="24"/>
          <w:szCs w:val="16"/>
        </w:rPr>
        <w:t>periodontal health by reviewing</w:t>
      </w:r>
      <w:r w:rsidRPr="00831001">
        <w:rPr>
          <w:rFonts w:ascii="Times New Roman" w:eastAsia="Calibri" w:hAnsi="Times New Roman" w:cs="Times New Roman"/>
          <w:sz w:val="24"/>
          <w:szCs w:val="16"/>
        </w:rPr>
        <w:t xml:space="preserve"> </w:t>
      </w:r>
      <w:r w:rsidR="00826539" w:rsidRPr="00831001">
        <w:rPr>
          <w:rFonts w:ascii="Times New Roman" w:eastAsia="Calibri" w:hAnsi="Times New Roman" w:cs="Times New Roman"/>
          <w:sz w:val="24"/>
          <w:szCs w:val="16"/>
        </w:rPr>
        <w:t xml:space="preserve">the </w:t>
      </w:r>
      <w:r w:rsidRPr="00831001">
        <w:rPr>
          <w:rFonts w:ascii="Times New Roman" w:eastAsia="Calibri" w:hAnsi="Times New Roman" w:cs="Times New Roman"/>
          <w:sz w:val="24"/>
          <w:szCs w:val="16"/>
        </w:rPr>
        <w:t xml:space="preserve">medical history, obtaining periodontal probe measurements, calculating clinical attachment loss,  </w:t>
      </w:r>
      <w:r w:rsidR="00826539" w:rsidRPr="00831001">
        <w:rPr>
          <w:rFonts w:ascii="Times New Roman" w:eastAsia="Calibri" w:hAnsi="Times New Roman" w:cs="Times New Roman"/>
          <w:sz w:val="24"/>
          <w:szCs w:val="16"/>
        </w:rPr>
        <w:t xml:space="preserve">recording </w:t>
      </w:r>
      <w:r w:rsidRPr="00831001">
        <w:rPr>
          <w:rFonts w:ascii="Times New Roman" w:eastAsia="Calibri" w:hAnsi="Times New Roman" w:cs="Times New Roman"/>
          <w:sz w:val="24"/>
          <w:szCs w:val="16"/>
        </w:rPr>
        <w:t>bleeding on probing (BOP)</w:t>
      </w:r>
      <w:r w:rsidR="00826539" w:rsidRPr="00831001">
        <w:rPr>
          <w:rFonts w:ascii="Times New Roman" w:eastAsia="Calibri" w:hAnsi="Times New Roman" w:cs="Times New Roman"/>
          <w:sz w:val="24"/>
          <w:szCs w:val="16"/>
        </w:rPr>
        <w:t xml:space="preserve"> sites</w:t>
      </w:r>
      <w:r w:rsidRPr="00831001">
        <w:rPr>
          <w:rFonts w:ascii="Times New Roman" w:eastAsia="Calibri" w:hAnsi="Times New Roman" w:cs="Times New Roman"/>
          <w:sz w:val="24"/>
          <w:szCs w:val="16"/>
        </w:rPr>
        <w:t>, evaluating radiographic bone loss, assessing tooth mobility, inspecting plaque and calculus deposits, and determining patients’ risk factors.</w:t>
      </w:r>
      <w:r w:rsidR="00DE204E" w:rsidRPr="00831001">
        <w:rPr>
          <w:rFonts w:ascii="Times New Roman" w:eastAsia="Calibri" w:hAnsi="Times New Roman" w:cs="Times New Roman"/>
          <w:sz w:val="24"/>
          <w:szCs w:val="16"/>
          <w:vertAlign w:val="superscript"/>
        </w:rPr>
        <w:t xml:space="preserve">1, 2 </w:t>
      </w:r>
      <w:r w:rsidRPr="00831001">
        <w:rPr>
          <w:rFonts w:ascii="Times New Roman" w:eastAsia="Calibri" w:hAnsi="Times New Roman" w:cs="Times New Roman"/>
          <w:sz w:val="24"/>
          <w:szCs w:val="16"/>
        </w:rPr>
        <w:t xml:space="preserve"> The American Academy of Perio</w:t>
      </w:r>
      <w:r w:rsidR="00A864B4">
        <w:rPr>
          <w:rFonts w:ascii="Times New Roman" w:eastAsia="Calibri" w:hAnsi="Times New Roman" w:cs="Times New Roman"/>
          <w:sz w:val="24"/>
          <w:szCs w:val="16"/>
        </w:rPr>
        <w:t xml:space="preserve">dontology (AAP) recognizes </w:t>
      </w:r>
      <w:r w:rsidRPr="00831001">
        <w:rPr>
          <w:rFonts w:ascii="Times New Roman" w:eastAsia="Calibri" w:hAnsi="Times New Roman" w:cs="Times New Roman"/>
          <w:sz w:val="24"/>
          <w:szCs w:val="16"/>
        </w:rPr>
        <w:t xml:space="preserve">dental hygienists </w:t>
      </w:r>
      <w:r w:rsidR="0038034F">
        <w:rPr>
          <w:rFonts w:ascii="Times New Roman" w:eastAsia="Calibri" w:hAnsi="Times New Roman" w:cs="Times New Roman"/>
          <w:sz w:val="24"/>
          <w:szCs w:val="16"/>
        </w:rPr>
        <w:t>play</w:t>
      </w:r>
      <w:r w:rsidR="00826539" w:rsidRPr="00831001">
        <w:rPr>
          <w:rFonts w:ascii="Times New Roman" w:eastAsia="Calibri" w:hAnsi="Times New Roman" w:cs="Times New Roman"/>
          <w:sz w:val="24"/>
          <w:szCs w:val="16"/>
        </w:rPr>
        <w:t xml:space="preserve"> </w:t>
      </w:r>
      <w:r w:rsidRPr="00831001">
        <w:rPr>
          <w:rFonts w:ascii="Times New Roman" w:eastAsia="Calibri" w:hAnsi="Times New Roman" w:cs="Times New Roman"/>
          <w:sz w:val="24"/>
          <w:szCs w:val="16"/>
        </w:rPr>
        <w:t>a vital role in the assessment and treatment of periodontal disease.</w:t>
      </w:r>
      <w:r w:rsidR="00DE204E" w:rsidRPr="00831001">
        <w:rPr>
          <w:rFonts w:ascii="Times New Roman" w:eastAsia="Calibri" w:hAnsi="Times New Roman" w:cs="Times New Roman"/>
          <w:sz w:val="24"/>
          <w:szCs w:val="16"/>
          <w:vertAlign w:val="superscript"/>
        </w:rPr>
        <w:t>1</w:t>
      </w:r>
      <w:r w:rsidR="00B965E4" w:rsidRPr="00831001">
        <w:rPr>
          <w:rFonts w:ascii="Times New Roman" w:eastAsia="Calibri" w:hAnsi="Times New Roman" w:cs="Times New Roman"/>
          <w:sz w:val="24"/>
          <w:szCs w:val="16"/>
          <w:vertAlign w:val="superscript"/>
        </w:rPr>
        <w:t xml:space="preserve"> </w:t>
      </w:r>
      <w:r w:rsidRPr="00831001">
        <w:rPr>
          <w:rFonts w:ascii="Times New Roman" w:eastAsia="Calibri" w:hAnsi="Times New Roman" w:cs="Times New Roman"/>
          <w:sz w:val="24"/>
          <w:szCs w:val="16"/>
        </w:rPr>
        <w:t xml:space="preserve"> Dental hygienists are “often responsible for several important elements of comprehensive periodontal therapy, including: evaluating the patient’s periodontal health; providing nonsurgical periodontal treatment; and offering guidance on follow-up treatment, as well as self-ca</w:t>
      </w:r>
      <w:r w:rsidR="0038034F">
        <w:rPr>
          <w:rFonts w:ascii="Times New Roman" w:eastAsia="Calibri" w:hAnsi="Times New Roman" w:cs="Times New Roman"/>
          <w:sz w:val="24"/>
          <w:szCs w:val="16"/>
        </w:rPr>
        <w:t>re and maintenance</w:t>
      </w:r>
      <w:r w:rsidRPr="00831001">
        <w:rPr>
          <w:rFonts w:ascii="Times New Roman" w:eastAsia="Calibri" w:hAnsi="Times New Roman" w:cs="Times New Roman"/>
          <w:sz w:val="24"/>
          <w:szCs w:val="16"/>
        </w:rPr>
        <w:t>.</w:t>
      </w:r>
      <w:r w:rsidR="0038034F">
        <w:rPr>
          <w:rFonts w:ascii="Times New Roman" w:eastAsia="Calibri" w:hAnsi="Times New Roman" w:cs="Times New Roman"/>
          <w:sz w:val="24"/>
          <w:szCs w:val="16"/>
        </w:rPr>
        <w:t>”</w:t>
      </w:r>
      <w:proofErr w:type="gramStart"/>
      <w:r w:rsidR="00E33DCA">
        <w:rPr>
          <w:rFonts w:ascii="Times New Roman" w:eastAsia="Calibri" w:hAnsi="Times New Roman" w:cs="Times New Roman"/>
          <w:sz w:val="24"/>
          <w:szCs w:val="16"/>
          <w:vertAlign w:val="superscript"/>
        </w:rPr>
        <w:t xml:space="preserve">1 </w:t>
      </w:r>
      <w:r w:rsidR="00E33DCA">
        <w:rPr>
          <w:rFonts w:ascii="Times New Roman" w:eastAsia="Calibri" w:hAnsi="Times New Roman" w:cs="Times New Roman"/>
          <w:sz w:val="24"/>
          <w:szCs w:val="16"/>
        </w:rPr>
        <w:t xml:space="preserve"> T</w:t>
      </w:r>
      <w:r w:rsidR="00A864B4">
        <w:rPr>
          <w:rFonts w:ascii="Times New Roman" w:eastAsia="Calibri" w:hAnsi="Times New Roman" w:cs="Times New Roman"/>
          <w:sz w:val="24"/>
          <w:szCs w:val="16"/>
        </w:rPr>
        <w:t>he</w:t>
      </w:r>
      <w:proofErr w:type="gramEnd"/>
      <w:r w:rsidR="00A864B4">
        <w:rPr>
          <w:rFonts w:ascii="Times New Roman" w:eastAsia="Calibri" w:hAnsi="Times New Roman" w:cs="Times New Roman"/>
          <w:sz w:val="24"/>
          <w:szCs w:val="16"/>
        </w:rPr>
        <w:t xml:space="preserve"> AAP  recommends performing</w:t>
      </w:r>
      <w:r w:rsidR="00826539" w:rsidRPr="00831001">
        <w:rPr>
          <w:rFonts w:ascii="Times New Roman" w:eastAsia="Calibri" w:hAnsi="Times New Roman" w:cs="Times New Roman"/>
          <w:sz w:val="24"/>
          <w:szCs w:val="16"/>
        </w:rPr>
        <w:t xml:space="preserve"> </w:t>
      </w:r>
      <w:r w:rsidR="00831001" w:rsidRPr="00831001">
        <w:rPr>
          <w:rFonts w:ascii="Times New Roman" w:eastAsia="Calibri" w:hAnsi="Times New Roman" w:cs="Times New Roman"/>
          <w:sz w:val="24"/>
          <w:szCs w:val="16"/>
        </w:rPr>
        <w:t>a yearly periodontal evaluation</w:t>
      </w:r>
      <w:r w:rsidR="00826539" w:rsidRPr="00831001">
        <w:rPr>
          <w:rFonts w:ascii="Times New Roman" w:eastAsia="Calibri" w:hAnsi="Times New Roman" w:cs="Times New Roman"/>
          <w:sz w:val="24"/>
          <w:szCs w:val="16"/>
        </w:rPr>
        <w:t xml:space="preserve"> </w:t>
      </w:r>
      <w:r w:rsidR="00A864B4">
        <w:rPr>
          <w:rFonts w:ascii="Times New Roman" w:eastAsia="Calibri" w:hAnsi="Times New Roman" w:cs="Times New Roman"/>
          <w:sz w:val="24"/>
          <w:szCs w:val="16"/>
        </w:rPr>
        <w:t xml:space="preserve">on every adult </w:t>
      </w:r>
      <w:r w:rsidR="00E33DCA">
        <w:rPr>
          <w:rFonts w:ascii="Times New Roman" w:eastAsia="Calibri" w:hAnsi="Times New Roman" w:cs="Times New Roman"/>
          <w:sz w:val="24"/>
          <w:szCs w:val="16"/>
        </w:rPr>
        <w:t xml:space="preserve">patient.  In addition to the </w:t>
      </w:r>
      <w:r w:rsidR="00826539" w:rsidRPr="00831001">
        <w:rPr>
          <w:rFonts w:ascii="Times New Roman" w:eastAsia="Calibri" w:hAnsi="Times New Roman" w:cs="Times New Roman"/>
          <w:sz w:val="24"/>
          <w:szCs w:val="16"/>
        </w:rPr>
        <w:t>significant role dental hygienists have in periodontal assessment</w:t>
      </w:r>
      <w:r w:rsidR="00E33DCA">
        <w:rPr>
          <w:rFonts w:ascii="Times New Roman" w:eastAsia="Calibri" w:hAnsi="Times New Roman" w:cs="Times New Roman"/>
          <w:sz w:val="24"/>
          <w:szCs w:val="16"/>
        </w:rPr>
        <w:t>s</w:t>
      </w:r>
      <w:r w:rsidR="00826539" w:rsidRPr="00831001">
        <w:rPr>
          <w:rFonts w:ascii="Times New Roman" w:eastAsia="Calibri" w:hAnsi="Times New Roman" w:cs="Times New Roman"/>
          <w:sz w:val="24"/>
          <w:szCs w:val="16"/>
        </w:rPr>
        <w:t xml:space="preserve">, </w:t>
      </w:r>
      <w:r w:rsidR="00E33DCA">
        <w:rPr>
          <w:rFonts w:ascii="Times New Roman" w:eastAsia="Calibri" w:hAnsi="Times New Roman" w:cs="Times New Roman"/>
          <w:sz w:val="24"/>
          <w:szCs w:val="16"/>
        </w:rPr>
        <w:t xml:space="preserve">the entire dental team including general dentists and periodontists have </w:t>
      </w:r>
      <w:r w:rsidR="00826539" w:rsidRPr="00831001">
        <w:rPr>
          <w:rFonts w:ascii="Times New Roman" w:eastAsia="Calibri" w:hAnsi="Times New Roman" w:cs="Times New Roman"/>
          <w:sz w:val="24"/>
          <w:szCs w:val="16"/>
        </w:rPr>
        <w:t>responsibility for annu</w:t>
      </w:r>
      <w:r w:rsidR="00E33DCA">
        <w:rPr>
          <w:rFonts w:ascii="Times New Roman" w:eastAsia="Calibri" w:hAnsi="Times New Roman" w:cs="Times New Roman"/>
          <w:sz w:val="24"/>
          <w:szCs w:val="16"/>
        </w:rPr>
        <w:t>al evaluation</w:t>
      </w:r>
      <w:r w:rsidR="00826539" w:rsidRPr="00831001">
        <w:rPr>
          <w:rFonts w:ascii="Times New Roman" w:eastAsia="Calibri" w:hAnsi="Times New Roman" w:cs="Times New Roman"/>
          <w:sz w:val="24"/>
          <w:szCs w:val="16"/>
        </w:rPr>
        <w:t>.</w:t>
      </w:r>
      <w:r w:rsidR="00E33DCA">
        <w:rPr>
          <w:rFonts w:ascii="Times New Roman" w:eastAsia="Calibri" w:hAnsi="Times New Roman" w:cs="Times New Roman"/>
          <w:sz w:val="24"/>
          <w:szCs w:val="16"/>
          <w:vertAlign w:val="superscript"/>
        </w:rPr>
        <w:t>1</w:t>
      </w:r>
      <w:proofErr w:type="gramStart"/>
      <w:r w:rsidR="00E33DCA">
        <w:rPr>
          <w:rFonts w:ascii="Times New Roman" w:eastAsia="Calibri" w:hAnsi="Times New Roman" w:cs="Times New Roman"/>
          <w:sz w:val="24"/>
          <w:szCs w:val="16"/>
          <w:vertAlign w:val="superscript"/>
        </w:rPr>
        <w:t>,3</w:t>
      </w:r>
      <w:proofErr w:type="gramEnd"/>
      <w:r w:rsidR="00E33DCA">
        <w:rPr>
          <w:rFonts w:ascii="Times New Roman" w:eastAsia="Calibri" w:hAnsi="Times New Roman" w:cs="Times New Roman"/>
          <w:sz w:val="24"/>
          <w:szCs w:val="16"/>
          <w:vertAlign w:val="superscript"/>
        </w:rPr>
        <w:t xml:space="preserve"> </w:t>
      </w:r>
      <w:r w:rsidR="00E33DCA">
        <w:rPr>
          <w:rFonts w:ascii="Times New Roman" w:eastAsia="Calibri" w:hAnsi="Times New Roman" w:cs="Times New Roman"/>
          <w:sz w:val="24"/>
          <w:szCs w:val="16"/>
        </w:rPr>
        <w:t xml:space="preserve"> </w:t>
      </w:r>
      <w:r w:rsidR="00826539" w:rsidRPr="00831001">
        <w:rPr>
          <w:rFonts w:ascii="Times New Roman" w:eastAsia="Calibri" w:hAnsi="Times New Roman" w:cs="Times New Roman"/>
          <w:sz w:val="24"/>
          <w:szCs w:val="16"/>
        </w:rPr>
        <w:t xml:space="preserve">Despite the </w:t>
      </w:r>
      <w:r w:rsidR="00C0215D" w:rsidRPr="00C0215D">
        <w:rPr>
          <w:rFonts w:ascii="Times New Roman" w:eastAsia="Calibri" w:hAnsi="Times New Roman" w:cs="Times New Roman"/>
          <w:sz w:val="24"/>
          <w:szCs w:val="16"/>
        </w:rPr>
        <w:t>responsibility</w:t>
      </w:r>
      <w:r w:rsidR="00826539" w:rsidRPr="003869D7">
        <w:rPr>
          <w:rFonts w:ascii="Times New Roman" w:eastAsia="Calibri" w:hAnsi="Times New Roman" w:cs="Times New Roman"/>
          <w:color w:val="FF0000"/>
          <w:sz w:val="24"/>
          <w:szCs w:val="16"/>
        </w:rPr>
        <w:t xml:space="preserve"> </w:t>
      </w:r>
      <w:r w:rsidR="00826539" w:rsidRPr="00831001">
        <w:rPr>
          <w:rFonts w:ascii="Times New Roman" w:eastAsia="Calibri" w:hAnsi="Times New Roman" w:cs="Times New Roman"/>
          <w:sz w:val="24"/>
          <w:szCs w:val="16"/>
        </w:rPr>
        <w:t>of the dental team in assessing patients’ periodontal heal</w:t>
      </w:r>
      <w:r w:rsidR="00A864B4">
        <w:rPr>
          <w:rFonts w:ascii="Times New Roman" w:eastAsia="Calibri" w:hAnsi="Times New Roman" w:cs="Times New Roman"/>
          <w:sz w:val="24"/>
          <w:szCs w:val="16"/>
        </w:rPr>
        <w:t>th, public records indicate</w:t>
      </w:r>
      <w:r w:rsidR="00826539" w:rsidRPr="00831001">
        <w:rPr>
          <w:rFonts w:ascii="Times New Roman" w:eastAsia="Calibri" w:hAnsi="Times New Roman" w:cs="Times New Roman"/>
          <w:sz w:val="24"/>
          <w:szCs w:val="16"/>
        </w:rPr>
        <w:t xml:space="preserve"> per</w:t>
      </w:r>
      <w:r w:rsidR="00E546C3">
        <w:rPr>
          <w:rFonts w:ascii="Times New Roman" w:eastAsia="Calibri" w:hAnsi="Times New Roman" w:cs="Times New Roman"/>
          <w:sz w:val="24"/>
          <w:szCs w:val="16"/>
        </w:rPr>
        <w:t xml:space="preserve">iodontal disease is still </w:t>
      </w:r>
      <w:r w:rsidR="00826539" w:rsidRPr="00831001">
        <w:rPr>
          <w:rFonts w:ascii="Times New Roman" w:eastAsia="Calibri" w:hAnsi="Times New Roman" w:cs="Times New Roman"/>
          <w:sz w:val="24"/>
          <w:szCs w:val="16"/>
        </w:rPr>
        <w:t>prevalent in the United States.</w:t>
      </w:r>
      <w:r w:rsidR="0038034F">
        <w:rPr>
          <w:rFonts w:ascii="Times New Roman" w:eastAsia="Calibri" w:hAnsi="Times New Roman" w:cs="Times New Roman"/>
          <w:sz w:val="24"/>
          <w:szCs w:val="16"/>
          <w:vertAlign w:val="superscript"/>
        </w:rPr>
        <w:t>1,4,5</w:t>
      </w:r>
    </w:p>
    <w:p w:rsidR="00805987" w:rsidRPr="00831001" w:rsidRDefault="008C043D" w:rsidP="008800CD">
      <w:pPr>
        <w:spacing w:line="480" w:lineRule="auto"/>
        <w:ind w:firstLine="720"/>
        <w:contextualSpacing/>
        <w:rPr>
          <w:rFonts w:ascii="Times New Roman" w:hAnsi="Times New Roman" w:cs="Times New Roman"/>
          <w:sz w:val="24"/>
        </w:rPr>
      </w:pPr>
      <w:r w:rsidRPr="00831001">
        <w:rPr>
          <w:rFonts w:ascii="Times New Roman" w:eastAsia="Calibri" w:hAnsi="Times New Roman" w:cs="Times New Roman"/>
          <w:sz w:val="24"/>
          <w:szCs w:val="24"/>
        </w:rPr>
        <w:t>According to the National Health and Nutrition Health Examination Survey (NHANES) conducted</w:t>
      </w:r>
      <w:r w:rsidR="00826539" w:rsidRPr="00831001">
        <w:rPr>
          <w:rFonts w:ascii="Times New Roman" w:eastAsia="Calibri" w:hAnsi="Times New Roman" w:cs="Times New Roman"/>
          <w:sz w:val="24"/>
          <w:szCs w:val="24"/>
        </w:rPr>
        <w:t xml:space="preserve"> in the United States</w:t>
      </w:r>
      <w:r w:rsidRPr="00831001">
        <w:rPr>
          <w:rFonts w:ascii="Times New Roman" w:eastAsia="Calibri" w:hAnsi="Times New Roman" w:cs="Times New Roman"/>
          <w:sz w:val="24"/>
          <w:szCs w:val="24"/>
        </w:rPr>
        <w:t xml:space="preserve"> between 2009 and 2010, the prevalence of periodontitis, including mild, moderate, and severe case types, was estimated at 47.2% </w:t>
      </w:r>
      <w:r w:rsidR="009E29C7" w:rsidRPr="00831001">
        <w:rPr>
          <w:rFonts w:ascii="Times New Roman" w:eastAsia="Calibri" w:hAnsi="Times New Roman" w:cs="Times New Roman"/>
          <w:sz w:val="24"/>
          <w:szCs w:val="24"/>
        </w:rPr>
        <w:t>f</w:t>
      </w:r>
      <w:r w:rsidRPr="00831001">
        <w:rPr>
          <w:rFonts w:ascii="Times New Roman" w:eastAsia="Calibri" w:hAnsi="Times New Roman" w:cs="Times New Roman"/>
          <w:sz w:val="24"/>
          <w:szCs w:val="24"/>
        </w:rPr>
        <w:t xml:space="preserve">or </w:t>
      </w:r>
      <w:r w:rsidR="009E29C7" w:rsidRPr="00831001">
        <w:rPr>
          <w:rFonts w:ascii="Times New Roman" w:eastAsia="Calibri" w:hAnsi="Times New Roman" w:cs="Times New Roman"/>
          <w:sz w:val="24"/>
          <w:szCs w:val="24"/>
        </w:rPr>
        <w:t>those 30 years and older</w:t>
      </w:r>
      <w:r w:rsidR="00EB4296">
        <w:rPr>
          <w:rFonts w:ascii="Times New Roman" w:eastAsia="Calibri" w:hAnsi="Times New Roman" w:cs="Times New Roman"/>
          <w:sz w:val="24"/>
          <w:szCs w:val="24"/>
        </w:rPr>
        <w:t>.</w:t>
      </w:r>
      <w:r w:rsidR="009E29C7" w:rsidRPr="00831001">
        <w:rPr>
          <w:rFonts w:ascii="Times New Roman" w:eastAsia="Calibri" w:hAnsi="Times New Roman" w:cs="Times New Roman"/>
          <w:sz w:val="24"/>
          <w:szCs w:val="24"/>
          <w:vertAlign w:val="superscript"/>
        </w:rPr>
        <w:t>4</w:t>
      </w:r>
      <w:r w:rsidR="00EB4296">
        <w:rPr>
          <w:rFonts w:ascii="Times New Roman" w:eastAsia="Calibri" w:hAnsi="Times New Roman" w:cs="Times New Roman"/>
          <w:sz w:val="24"/>
          <w:szCs w:val="24"/>
          <w:vertAlign w:val="superscript"/>
        </w:rPr>
        <w:t xml:space="preserve">,5  </w:t>
      </w:r>
      <w:r w:rsidR="00EB4296" w:rsidRPr="002B7573">
        <w:rPr>
          <w:rFonts w:ascii="Times New Roman" w:eastAsia="Calibri" w:hAnsi="Times New Roman" w:cs="Times New Roman"/>
          <w:sz w:val="24"/>
          <w:szCs w:val="24"/>
        </w:rPr>
        <w:t xml:space="preserve">Previous estimates from the NAHNES III and NHANES 1999-2004, which used partial-mouth recording, indicated disease prevalence as </w:t>
      </w:r>
      <w:r w:rsidR="00EB4296" w:rsidRPr="00416A0F">
        <w:rPr>
          <w:rFonts w:ascii="Times New Roman" w:eastAsia="Calibri" w:hAnsi="Times New Roman" w:cs="Times New Roman"/>
          <w:sz w:val="24"/>
          <w:szCs w:val="24"/>
        </w:rPr>
        <w:t>26%</w:t>
      </w:r>
      <w:r w:rsidR="00EB4296">
        <w:rPr>
          <w:rFonts w:ascii="Times New Roman" w:eastAsia="Calibri" w:hAnsi="Times New Roman" w:cs="Times New Roman"/>
          <w:sz w:val="24"/>
          <w:szCs w:val="24"/>
        </w:rPr>
        <w:t xml:space="preserve"> and 17%, respectively</w:t>
      </w:r>
      <w:r w:rsidR="00EB4296" w:rsidRPr="00416A0F">
        <w:rPr>
          <w:rFonts w:ascii="Times New Roman" w:eastAsia="Calibri" w:hAnsi="Times New Roman" w:cs="Times New Roman"/>
          <w:sz w:val="24"/>
          <w:szCs w:val="24"/>
        </w:rPr>
        <w:t>.</w:t>
      </w:r>
      <w:r w:rsidR="00EB4296">
        <w:rPr>
          <w:rFonts w:ascii="Times New Roman" w:eastAsia="Calibri" w:hAnsi="Times New Roman" w:cs="Times New Roman"/>
          <w:sz w:val="24"/>
          <w:szCs w:val="24"/>
          <w:vertAlign w:val="superscript"/>
        </w:rPr>
        <w:t>4,5</w:t>
      </w:r>
      <w:r w:rsidR="00EB4296">
        <w:rPr>
          <w:rFonts w:ascii="Times New Roman" w:eastAsia="Calibri" w:hAnsi="Times New Roman" w:cs="Times New Roman"/>
          <w:sz w:val="24"/>
          <w:szCs w:val="24"/>
        </w:rPr>
        <w:t xml:space="preserve">  </w:t>
      </w:r>
      <w:r w:rsidR="00826539" w:rsidRPr="00831001">
        <w:rPr>
          <w:rFonts w:ascii="Times New Roman" w:hAnsi="Times New Roman" w:cs="Times New Roman"/>
          <w:sz w:val="24"/>
          <w:szCs w:val="18"/>
          <w:shd w:val="clear" w:color="auto" w:fill="FFFFFF"/>
        </w:rPr>
        <w:t>The Centers for Disease Control and Prevention (CDC) is currently working</w:t>
      </w:r>
      <w:r w:rsidR="00831001" w:rsidRPr="00831001">
        <w:rPr>
          <w:rFonts w:ascii="Times New Roman" w:hAnsi="Times New Roman" w:cs="Times New Roman"/>
          <w:sz w:val="24"/>
          <w:szCs w:val="18"/>
          <w:shd w:val="clear" w:color="auto" w:fill="FFFFFF"/>
        </w:rPr>
        <w:t xml:space="preserve"> with key partner organizations</w:t>
      </w:r>
      <w:r w:rsidR="00826539" w:rsidRPr="00831001">
        <w:rPr>
          <w:rFonts w:ascii="Times New Roman" w:hAnsi="Times New Roman" w:cs="Times New Roman"/>
          <w:sz w:val="24"/>
          <w:szCs w:val="18"/>
          <w:shd w:val="clear" w:color="auto" w:fill="FFFFFF"/>
        </w:rPr>
        <w:t xml:space="preserve"> including the AAP and the American Dental Association (ADA) to improve and sustain </w:t>
      </w:r>
      <w:r w:rsidR="00826539" w:rsidRPr="00831001">
        <w:rPr>
          <w:rFonts w:ascii="Times New Roman" w:hAnsi="Times New Roman" w:cs="Times New Roman"/>
          <w:sz w:val="24"/>
          <w:szCs w:val="18"/>
          <w:shd w:val="clear" w:color="auto" w:fill="FFFFFF"/>
        </w:rPr>
        <w:lastRenderedPageBreak/>
        <w:t>surveillance of periodontal disease in the adult U.S. population.</w:t>
      </w:r>
      <w:r w:rsidR="00EB4296">
        <w:rPr>
          <w:rFonts w:ascii="Times New Roman" w:hAnsi="Times New Roman" w:cs="Times New Roman"/>
          <w:sz w:val="24"/>
          <w:szCs w:val="18"/>
          <w:shd w:val="clear" w:color="auto" w:fill="FFFFFF"/>
          <w:vertAlign w:val="superscript"/>
        </w:rPr>
        <w:t>6</w:t>
      </w:r>
      <w:r w:rsidR="00826539" w:rsidRPr="00831001">
        <w:rPr>
          <w:rFonts w:ascii="Times New Roman" w:hAnsi="Times New Roman" w:cs="Times New Roman"/>
          <w:sz w:val="24"/>
          <w:szCs w:val="18"/>
          <w:shd w:val="clear" w:color="auto" w:fill="FFFFFF"/>
          <w:vertAlign w:val="superscript"/>
        </w:rPr>
        <w:t xml:space="preserve"> </w:t>
      </w:r>
      <w:r w:rsidR="00826539" w:rsidRPr="00831001">
        <w:rPr>
          <w:rFonts w:ascii="Times New Roman" w:hAnsi="Times New Roman" w:cs="Times New Roman"/>
          <w:sz w:val="24"/>
          <w:szCs w:val="18"/>
          <w:shd w:val="clear" w:color="auto" w:fill="FFFFFF"/>
        </w:rPr>
        <w:t xml:space="preserve"> A</w:t>
      </w:r>
      <w:r w:rsidRPr="00831001">
        <w:rPr>
          <w:rFonts w:ascii="Times New Roman" w:eastAsia="Calibri" w:hAnsi="Times New Roman" w:cs="Times New Roman"/>
          <w:sz w:val="24"/>
          <w:szCs w:val="24"/>
        </w:rPr>
        <w:t>s</w:t>
      </w:r>
      <w:r w:rsidR="00831001" w:rsidRPr="00831001">
        <w:rPr>
          <w:rFonts w:ascii="Times New Roman" w:eastAsia="Calibri" w:hAnsi="Times New Roman" w:cs="Times New Roman"/>
          <w:sz w:val="24"/>
          <w:szCs w:val="24"/>
        </w:rPr>
        <w:t xml:space="preserve"> the incidence of periodontitis</w:t>
      </w:r>
      <w:r w:rsidRPr="00831001">
        <w:rPr>
          <w:rFonts w:ascii="Times New Roman" w:eastAsia="Calibri" w:hAnsi="Times New Roman" w:cs="Times New Roman"/>
          <w:sz w:val="24"/>
          <w:szCs w:val="24"/>
        </w:rPr>
        <w:t xml:space="preserve"> rise</w:t>
      </w:r>
      <w:r w:rsidR="00826539" w:rsidRPr="00831001">
        <w:rPr>
          <w:rFonts w:ascii="Times New Roman" w:eastAsia="Calibri" w:hAnsi="Times New Roman" w:cs="Times New Roman"/>
          <w:sz w:val="24"/>
          <w:szCs w:val="24"/>
        </w:rPr>
        <w:t>s</w:t>
      </w:r>
      <w:r w:rsidR="00A864B4">
        <w:rPr>
          <w:rFonts w:ascii="Times New Roman" w:eastAsia="Calibri" w:hAnsi="Times New Roman" w:cs="Times New Roman"/>
          <w:sz w:val="24"/>
          <w:szCs w:val="24"/>
        </w:rPr>
        <w:t xml:space="preserve">, dental professionals should </w:t>
      </w:r>
      <w:r w:rsidR="00826539" w:rsidRPr="00831001">
        <w:rPr>
          <w:rFonts w:ascii="Times New Roman" w:eastAsia="Calibri" w:hAnsi="Times New Roman" w:cs="Times New Roman"/>
          <w:sz w:val="24"/>
          <w:szCs w:val="24"/>
        </w:rPr>
        <w:t xml:space="preserve">implement </w:t>
      </w:r>
      <w:r w:rsidR="00831001">
        <w:rPr>
          <w:rFonts w:ascii="Times New Roman" w:eastAsia="Calibri" w:hAnsi="Times New Roman" w:cs="Times New Roman"/>
          <w:sz w:val="24"/>
          <w:szCs w:val="24"/>
        </w:rPr>
        <w:t>appropriate assessment and</w:t>
      </w:r>
      <w:r w:rsidRPr="00416A0F">
        <w:rPr>
          <w:rFonts w:ascii="Times New Roman" w:eastAsia="Calibri" w:hAnsi="Times New Roman" w:cs="Times New Roman"/>
          <w:sz w:val="24"/>
          <w:szCs w:val="24"/>
        </w:rPr>
        <w:t xml:space="preserve"> </w:t>
      </w:r>
      <w:r w:rsidR="00826539" w:rsidRPr="00831001">
        <w:rPr>
          <w:rFonts w:ascii="Times New Roman" w:eastAsia="Calibri" w:hAnsi="Times New Roman" w:cs="Times New Roman"/>
          <w:sz w:val="24"/>
          <w:szCs w:val="24"/>
        </w:rPr>
        <w:t xml:space="preserve">diagnostic </w:t>
      </w:r>
      <w:r w:rsidRPr="00831001">
        <w:rPr>
          <w:rFonts w:ascii="Times New Roman" w:eastAsia="Calibri" w:hAnsi="Times New Roman" w:cs="Times New Roman"/>
          <w:sz w:val="24"/>
          <w:szCs w:val="24"/>
        </w:rPr>
        <w:t xml:space="preserve">protocols to </w:t>
      </w:r>
      <w:r w:rsidR="00826539" w:rsidRPr="00831001">
        <w:rPr>
          <w:rFonts w:ascii="Times New Roman" w:eastAsia="Calibri" w:hAnsi="Times New Roman" w:cs="Times New Roman"/>
          <w:sz w:val="24"/>
          <w:szCs w:val="24"/>
        </w:rPr>
        <w:t xml:space="preserve">determine </w:t>
      </w:r>
      <w:r w:rsidRPr="00831001">
        <w:rPr>
          <w:rFonts w:ascii="Times New Roman" w:eastAsia="Calibri" w:hAnsi="Times New Roman" w:cs="Times New Roman"/>
          <w:sz w:val="24"/>
          <w:szCs w:val="24"/>
        </w:rPr>
        <w:t xml:space="preserve">proper </w:t>
      </w:r>
      <w:r w:rsidR="00826539" w:rsidRPr="00831001">
        <w:rPr>
          <w:rFonts w:ascii="Times New Roman" w:eastAsia="Calibri" w:hAnsi="Times New Roman" w:cs="Times New Roman"/>
          <w:sz w:val="24"/>
          <w:szCs w:val="24"/>
        </w:rPr>
        <w:t xml:space="preserve">patient </w:t>
      </w:r>
      <w:r w:rsidRPr="00831001">
        <w:rPr>
          <w:rFonts w:ascii="Times New Roman" w:eastAsia="Calibri" w:hAnsi="Times New Roman" w:cs="Times New Roman"/>
          <w:sz w:val="24"/>
          <w:szCs w:val="24"/>
        </w:rPr>
        <w:t>treatment</w:t>
      </w:r>
      <w:r w:rsidR="00826539" w:rsidRPr="00831001">
        <w:rPr>
          <w:rFonts w:ascii="Times New Roman" w:eastAsia="Calibri" w:hAnsi="Times New Roman" w:cs="Times New Roman"/>
          <w:sz w:val="24"/>
          <w:szCs w:val="24"/>
        </w:rPr>
        <w:t>.</w:t>
      </w:r>
      <w:r w:rsidRPr="00831001">
        <w:rPr>
          <w:rFonts w:ascii="Times New Roman" w:eastAsia="Calibri" w:hAnsi="Times New Roman" w:cs="Times New Roman"/>
          <w:sz w:val="24"/>
          <w:szCs w:val="24"/>
        </w:rPr>
        <w:t xml:space="preserve"> </w:t>
      </w:r>
      <w:r w:rsidR="00831001" w:rsidRPr="00831001">
        <w:rPr>
          <w:rFonts w:ascii="Times New Roman" w:eastAsia="Calibri" w:hAnsi="Times New Roman" w:cs="Times New Roman"/>
          <w:sz w:val="24"/>
          <w:szCs w:val="24"/>
        </w:rPr>
        <w:t xml:space="preserve"> </w:t>
      </w:r>
      <w:r w:rsidR="00826539" w:rsidRPr="00831001">
        <w:rPr>
          <w:rFonts w:ascii="Times New Roman" w:hAnsi="Times New Roman" w:cs="Times New Roman"/>
          <w:sz w:val="24"/>
          <w:szCs w:val="18"/>
          <w:shd w:val="clear" w:color="auto" w:fill="FFFFFF"/>
        </w:rPr>
        <w:t xml:space="preserve">Research is necessary </w:t>
      </w:r>
      <w:r w:rsidRPr="00831001">
        <w:rPr>
          <w:rFonts w:ascii="Times New Roman" w:hAnsi="Times New Roman" w:cs="Times New Roman"/>
          <w:sz w:val="24"/>
          <w:szCs w:val="18"/>
          <w:shd w:val="clear" w:color="auto" w:fill="FFFFFF"/>
        </w:rPr>
        <w:t xml:space="preserve">to </w:t>
      </w:r>
      <w:r w:rsidR="00826539" w:rsidRPr="00831001">
        <w:rPr>
          <w:rFonts w:ascii="Times New Roman" w:hAnsi="Times New Roman" w:cs="Times New Roman"/>
          <w:sz w:val="24"/>
          <w:szCs w:val="18"/>
          <w:shd w:val="clear" w:color="auto" w:fill="FFFFFF"/>
        </w:rPr>
        <w:t xml:space="preserve">measure </w:t>
      </w:r>
      <w:r w:rsidRPr="00831001">
        <w:rPr>
          <w:rFonts w:ascii="Times New Roman" w:hAnsi="Times New Roman" w:cs="Times New Roman"/>
          <w:sz w:val="24"/>
          <w:szCs w:val="18"/>
          <w:shd w:val="clear" w:color="auto" w:fill="FFFFFF"/>
        </w:rPr>
        <w:t>the periodontal assessment procedures</w:t>
      </w:r>
      <w:r w:rsidR="001948B5" w:rsidRPr="00831001">
        <w:rPr>
          <w:rFonts w:ascii="Times New Roman" w:hAnsi="Times New Roman" w:cs="Times New Roman"/>
          <w:sz w:val="24"/>
          <w:szCs w:val="18"/>
          <w:shd w:val="clear" w:color="auto" w:fill="FFFFFF"/>
        </w:rPr>
        <w:t xml:space="preserve"> and diagnostic protocols</w:t>
      </w:r>
      <w:r w:rsidRPr="00831001">
        <w:rPr>
          <w:rFonts w:ascii="Times New Roman" w:hAnsi="Times New Roman" w:cs="Times New Roman"/>
          <w:sz w:val="24"/>
          <w:szCs w:val="18"/>
          <w:shd w:val="clear" w:color="auto" w:fill="FFFFFF"/>
        </w:rPr>
        <w:t xml:space="preserve"> </w:t>
      </w:r>
      <w:r w:rsidR="001948B5" w:rsidRPr="00831001">
        <w:rPr>
          <w:rFonts w:ascii="Times New Roman" w:hAnsi="Times New Roman" w:cs="Times New Roman"/>
          <w:sz w:val="24"/>
          <w:szCs w:val="18"/>
          <w:shd w:val="clear" w:color="auto" w:fill="FFFFFF"/>
        </w:rPr>
        <w:t>practiced</w:t>
      </w:r>
      <w:r w:rsidRPr="00831001">
        <w:rPr>
          <w:rFonts w:ascii="Times New Roman" w:hAnsi="Times New Roman" w:cs="Times New Roman"/>
          <w:sz w:val="24"/>
          <w:szCs w:val="18"/>
          <w:shd w:val="clear" w:color="auto" w:fill="FFFFFF"/>
        </w:rPr>
        <w:t xml:space="preserve"> in general dentistry.</w:t>
      </w:r>
      <w:r w:rsidR="0038034F">
        <w:rPr>
          <w:rFonts w:ascii="Times New Roman" w:hAnsi="Times New Roman" w:cs="Times New Roman"/>
          <w:sz w:val="24"/>
          <w:szCs w:val="18"/>
          <w:shd w:val="clear" w:color="auto" w:fill="FFFFFF"/>
        </w:rPr>
        <w:t xml:space="preserve"> </w:t>
      </w:r>
      <w:r w:rsidRPr="00831001">
        <w:rPr>
          <w:rFonts w:ascii="Times New Roman" w:hAnsi="Times New Roman" w:cs="Times New Roman"/>
          <w:sz w:val="24"/>
          <w:szCs w:val="18"/>
          <w:shd w:val="clear" w:color="auto" w:fill="FFFFFF"/>
        </w:rPr>
        <w:t xml:space="preserve"> </w:t>
      </w:r>
      <w:r w:rsidR="001948B5" w:rsidRPr="00831001">
        <w:rPr>
          <w:rFonts w:ascii="Times New Roman" w:hAnsi="Times New Roman" w:cs="Times New Roman"/>
          <w:sz w:val="24"/>
          <w:szCs w:val="18"/>
          <w:shd w:val="clear" w:color="auto" w:fill="FFFFFF"/>
        </w:rPr>
        <w:t xml:space="preserve">Since </w:t>
      </w:r>
      <w:r w:rsidRPr="00831001">
        <w:rPr>
          <w:rFonts w:ascii="Times New Roman" w:hAnsi="Times New Roman" w:cs="Times New Roman"/>
          <w:sz w:val="24"/>
          <w:szCs w:val="18"/>
          <w:shd w:val="clear" w:color="auto" w:fill="FFFFFF"/>
        </w:rPr>
        <w:t>a large portion of the population is affected by perio</w:t>
      </w:r>
      <w:r w:rsidR="00A6398C" w:rsidRPr="00831001">
        <w:rPr>
          <w:rFonts w:ascii="Times New Roman" w:hAnsi="Times New Roman" w:cs="Times New Roman"/>
          <w:sz w:val="24"/>
          <w:szCs w:val="18"/>
          <w:shd w:val="clear" w:color="auto" w:fill="FFFFFF"/>
        </w:rPr>
        <w:t xml:space="preserve">dontal disease, </w:t>
      </w:r>
      <w:r w:rsidR="00C1604D" w:rsidRPr="00831001">
        <w:rPr>
          <w:rFonts w:ascii="Times New Roman" w:hAnsi="Times New Roman" w:cs="Times New Roman"/>
          <w:sz w:val="24"/>
          <w:szCs w:val="18"/>
          <w:shd w:val="clear" w:color="auto" w:fill="FFFFFF"/>
        </w:rPr>
        <w:t xml:space="preserve">dental professionals </w:t>
      </w:r>
      <w:r w:rsidR="001948B5" w:rsidRPr="00831001">
        <w:rPr>
          <w:rFonts w:ascii="Times New Roman" w:hAnsi="Times New Roman" w:cs="Times New Roman"/>
          <w:sz w:val="24"/>
          <w:szCs w:val="18"/>
          <w:shd w:val="clear" w:color="auto" w:fill="FFFFFF"/>
        </w:rPr>
        <w:t xml:space="preserve">should adhere </w:t>
      </w:r>
      <w:r w:rsidRPr="00831001">
        <w:rPr>
          <w:rFonts w:ascii="Times New Roman" w:hAnsi="Times New Roman" w:cs="Times New Roman"/>
          <w:sz w:val="24"/>
          <w:szCs w:val="18"/>
          <w:shd w:val="clear" w:color="auto" w:fill="FFFFFF"/>
        </w:rPr>
        <w:t>to the</w:t>
      </w:r>
      <w:r w:rsidR="00A864B4">
        <w:rPr>
          <w:rFonts w:ascii="Times New Roman" w:hAnsi="Times New Roman" w:cs="Times New Roman"/>
          <w:sz w:val="24"/>
          <w:szCs w:val="18"/>
          <w:shd w:val="clear" w:color="auto" w:fill="FFFFFF"/>
        </w:rPr>
        <w:t xml:space="preserve"> AAP </w:t>
      </w:r>
      <w:r w:rsidRPr="00831001">
        <w:rPr>
          <w:rFonts w:ascii="Times New Roman" w:hAnsi="Times New Roman" w:cs="Times New Roman"/>
          <w:sz w:val="24"/>
          <w:szCs w:val="18"/>
          <w:shd w:val="clear" w:color="auto" w:fill="FFFFFF"/>
        </w:rPr>
        <w:t>recommendati</w:t>
      </w:r>
      <w:r w:rsidR="00A864B4">
        <w:rPr>
          <w:rFonts w:ascii="Times New Roman" w:hAnsi="Times New Roman" w:cs="Times New Roman"/>
          <w:sz w:val="24"/>
          <w:szCs w:val="18"/>
          <w:shd w:val="clear" w:color="auto" w:fill="FFFFFF"/>
        </w:rPr>
        <w:t>ons</w:t>
      </w:r>
      <w:r w:rsidRPr="00831001">
        <w:rPr>
          <w:rFonts w:ascii="Times New Roman" w:hAnsi="Times New Roman" w:cs="Times New Roman"/>
          <w:sz w:val="24"/>
          <w:szCs w:val="18"/>
          <w:shd w:val="clear" w:color="auto" w:fill="FFFFFF"/>
        </w:rPr>
        <w:t xml:space="preserve">. </w:t>
      </w:r>
    </w:p>
    <w:p w:rsidR="001948B5" w:rsidRPr="00831001" w:rsidRDefault="008C043D" w:rsidP="00FC7E46">
      <w:pPr>
        <w:spacing w:line="480" w:lineRule="auto"/>
        <w:contextualSpacing/>
        <w:rPr>
          <w:rFonts w:ascii="Times New Roman" w:eastAsia="Calibri" w:hAnsi="Times New Roman" w:cs="Times New Roman"/>
          <w:sz w:val="24"/>
          <w:szCs w:val="24"/>
        </w:rPr>
      </w:pPr>
      <w:r w:rsidRPr="00831001">
        <w:rPr>
          <w:rFonts w:ascii="Times New Roman" w:eastAsia="Times New Roman" w:hAnsi="Times New Roman" w:cs="Times New Roman"/>
          <w:sz w:val="24"/>
          <w:szCs w:val="24"/>
        </w:rPr>
        <w:tab/>
      </w:r>
      <w:r w:rsidR="001948B5" w:rsidRPr="00831001">
        <w:rPr>
          <w:rFonts w:ascii="Times New Roman" w:eastAsia="Times New Roman" w:hAnsi="Times New Roman" w:cs="Times New Roman"/>
          <w:sz w:val="24"/>
          <w:szCs w:val="24"/>
        </w:rPr>
        <w:t>As the prevalence of p</w:t>
      </w:r>
      <w:r w:rsidR="00A864B4">
        <w:rPr>
          <w:rFonts w:ascii="Times New Roman" w:eastAsia="Times New Roman" w:hAnsi="Times New Roman" w:cs="Times New Roman"/>
          <w:sz w:val="24"/>
          <w:szCs w:val="24"/>
        </w:rPr>
        <w:t xml:space="preserve">eriodontal disease </w:t>
      </w:r>
      <w:r w:rsidR="001948B5" w:rsidRPr="00831001">
        <w:rPr>
          <w:rFonts w:ascii="Times New Roman" w:eastAsia="Times New Roman" w:hAnsi="Times New Roman" w:cs="Times New Roman"/>
          <w:sz w:val="24"/>
          <w:szCs w:val="24"/>
        </w:rPr>
        <w:t>rise</w:t>
      </w:r>
      <w:r w:rsidR="00A864B4">
        <w:rPr>
          <w:rFonts w:ascii="Times New Roman" w:eastAsia="Times New Roman" w:hAnsi="Times New Roman" w:cs="Times New Roman"/>
          <w:sz w:val="24"/>
          <w:szCs w:val="24"/>
        </w:rPr>
        <w:t>s</w:t>
      </w:r>
      <w:r w:rsidR="001948B5" w:rsidRPr="00831001">
        <w:rPr>
          <w:rFonts w:ascii="Times New Roman" w:eastAsia="Times New Roman" w:hAnsi="Times New Roman" w:cs="Times New Roman"/>
          <w:sz w:val="24"/>
          <w:szCs w:val="24"/>
        </w:rPr>
        <w:t>, the AAP st</w:t>
      </w:r>
      <w:r w:rsidR="00831001" w:rsidRPr="00831001">
        <w:rPr>
          <w:rFonts w:ascii="Times New Roman" w:eastAsia="Times New Roman" w:hAnsi="Times New Roman" w:cs="Times New Roman"/>
          <w:sz w:val="24"/>
          <w:szCs w:val="24"/>
        </w:rPr>
        <w:t>r</w:t>
      </w:r>
      <w:r w:rsidR="001948B5" w:rsidRPr="00831001">
        <w:rPr>
          <w:rFonts w:ascii="Times New Roman" w:eastAsia="Times New Roman" w:hAnsi="Times New Roman" w:cs="Times New Roman"/>
          <w:sz w:val="24"/>
          <w:szCs w:val="24"/>
        </w:rPr>
        <w:t xml:space="preserve">ongly encourages early screening, evaluation and diagnosis to improve the health of patients. </w:t>
      </w:r>
      <w:r w:rsidR="0038034F">
        <w:rPr>
          <w:rFonts w:ascii="Times New Roman" w:eastAsia="Times New Roman" w:hAnsi="Times New Roman" w:cs="Times New Roman"/>
          <w:sz w:val="24"/>
          <w:szCs w:val="24"/>
        </w:rPr>
        <w:t xml:space="preserve"> </w:t>
      </w:r>
      <w:r w:rsidR="001948B5" w:rsidRPr="00831001">
        <w:rPr>
          <w:rFonts w:ascii="Times New Roman" w:eastAsia="Times New Roman" w:hAnsi="Times New Roman" w:cs="Times New Roman"/>
          <w:sz w:val="24"/>
          <w:szCs w:val="24"/>
        </w:rPr>
        <w:t>To support the concern of the AAP, t</w:t>
      </w:r>
      <w:r w:rsidRPr="00831001">
        <w:rPr>
          <w:rFonts w:ascii="Times New Roman" w:eastAsia="Times New Roman" w:hAnsi="Times New Roman" w:cs="Times New Roman"/>
          <w:sz w:val="24"/>
          <w:szCs w:val="24"/>
        </w:rPr>
        <w:t xml:space="preserve">he CDC </w:t>
      </w:r>
      <w:r w:rsidR="001948B5" w:rsidRPr="00831001">
        <w:rPr>
          <w:rFonts w:ascii="Times New Roman" w:eastAsia="Times New Roman" w:hAnsi="Times New Roman" w:cs="Times New Roman"/>
          <w:sz w:val="24"/>
          <w:szCs w:val="24"/>
        </w:rPr>
        <w:t xml:space="preserve">acknowledges </w:t>
      </w:r>
      <w:r w:rsidRPr="00831001">
        <w:rPr>
          <w:rFonts w:ascii="Times New Roman" w:eastAsia="Times New Roman" w:hAnsi="Times New Roman" w:cs="Times New Roman"/>
          <w:sz w:val="24"/>
          <w:szCs w:val="24"/>
        </w:rPr>
        <w:t>periodontal disease as one of the b</w:t>
      </w:r>
      <w:r w:rsidR="001948B5" w:rsidRPr="00831001">
        <w:rPr>
          <w:rFonts w:ascii="Times New Roman" w:eastAsia="Times New Roman" w:hAnsi="Times New Roman" w:cs="Times New Roman"/>
          <w:sz w:val="24"/>
          <w:szCs w:val="24"/>
        </w:rPr>
        <w:t>iggest threats to dental health.</w:t>
      </w:r>
      <w:r w:rsidR="00EB4296">
        <w:rPr>
          <w:rFonts w:ascii="Times New Roman" w:eastAsia="Times New Roman" w:hAnsi="Times New Roman" w:cs="Times New Roman"/>
          <w:sz w:val="24"/>
          <w:szCs w:val="24"/>
          <w:vertAlign w:val="superscript"/>
        </w:rPr>
        <w:t>6</w:t>
      </w:r>
      <w:r w:rsidR="00831001" w:rsidRPr="00831001">
        <w:rPr>
          <w:rFonts w:ascii="Times New Roman" w:eastAsia="Times New Roman" w:hAnsi="Times New Roman" w:cs="Times New Roman"/>
          <w:sz w:val="24"/>
          <w:szCs w:val="24"/>
          <w:vertAlign w:val="superscript"/>
        </w:rPr>
        <w:t xml:space="preserve"> </w:t>
      </w:r>
      <w:r w:rsidR="0038034F">
        <w:rPr>
          <w:rFonts w:ascii="Times New Roman" w:eastAsia="Times New Roman" w:hAnsi="Times New Roman" w:cs="Times New Roman"/>
          <w:sz w:val="24"/>
          <w:szCs w:val="24"/>
        </w:rPr>
        <w:t xml:space="preserve">  </w:t>
      </w:r>
      <w:proofErr w:type="gramStart"/>
      <w:r w:rsidR="00A63B25" w:rsidRPr="002446D3">
        <w:rPr>
          <w:rFonts w:ascii="Times New Roman" w:eastAsia="Times New Roman" w:hAnsi="Times New Roman" w:cs="Times New Roman"/>
          <w:sz w:val="24"/>
          <w:szCs w:val="24"/>
        </w:rPr>
        <w:t>The</w:t>
      </w:r>
      <w:proofErr w:type="gramEnd"/>
      <w:r w:rsidR="00A63B25" w:rsidRPr="002446D3">
        <w:rPr>
          <w:rFonts w:ascii="Times New Roman" w:eastAsia="Times New Roman" w:hAnsi="Times New Roman" w:cs="Times New Roman"/>
          <w:sz w:val="24"/>
          <w:szCs w:val="24"/>
        </w:rPr>
        <w:t xml:space="preserve"> increase in periodontal disease prevalence </w:t>
      </w:r>
      <w:r w:rsidR="00831001" w:rsidRPr="002446D3">
        <w:rPr>
          <w:rFonts w:ascii="Times New Roman" w:eastAsia="Times New Roman" w:hAnsi="Times New Roman" w:cs="Times New Roman"/>
          <w:sz w:val="24"/>
          <w:szCs w:val="24"/>
        </w:rPr>
        <w:t xml:space="preserve">validates </w:t>
      </w:r>
      <w:r w:rsidRPr="002446D3">
        <w:rPr>
          <w:rFonts w:ascii="Times New Roman" w:eastAsia="Times New Roman" w:hAnsi="Times New Roman" w:cs="Times New Roman"/>
          <w:sz w:val="24"/>
          <w:szCs w:val="24"/>
        </w:rPr>
        <w:t xml:space="preserve">the need for dental professionals to </w:t>
      </w:r>
      <w:r w:rsidR="001948B5" w:rsidRPr="002446D3">
        <w:rPr>
          <w:rFonts w:ascii="Times New Roman" w:eastAsia="Times New Roman" w:hAnsi="Times New Roman" w:cs="Times New Roman"/>
          <w:sz w:val="24"/>
          <w:szCs w:val="24"/>
        </w:rPr>
        <w:t xml:space="preserve">practice </w:t>
      </w:r>
      <w:r w:rsidRPr="002446D3">
        <w:rPr>
          <w:rFonts w:ascii="Times New Roman" w:eastAsia="Times New Roman" w:hAnsi="Times New Roman" w:cs="Times New Roman"/>
          <w:sz w:val="24"/>
          <w:szCs w:val="24"/>
        </w:rPr>
        <w:t xml:space="preserve">appropriate assessment and diagnostic protocols </w:t>
      </w:r>
      <w:r w:rsidR="001948B5" w:rsidRPr="002446D3">
        <w:rPr>
          <w:rFonts w:ascii="Times New Roman" w:eastAsia="Times New Roman" w:hAnsi="Times New Roman" w:cs="Times New Roman"/>
          <w:sz w:val="24"/>
          <w:szCs w:val="24"/>
        </w:rPr>
        <w:t>when treating patients.</w:t>
      </w:r>
      <w:r w:rsidR="001948B5" w:rsidRPr="00831001">
        <w:rPr>
          <w:rFonts w:ascii="Times New Roman" w:eastAsia="Times New Roman" w:hAnsi="Times New Roman" w:cs="Times New Roman"/>
          <w:sz w:val="24"/>
          <w:szCs w:val="24"/>
        </w:rPr>
        <w:t xml:space="preserve"> </w:t>
      </w:r>
    </w:p>
    <w:p w:rsidR="001948B5" w:rsidRPr="00831001" w:rsidRDefault="001948B5" w:rsidP="001948B5">
      <w:pPr>
        <w:spacing w:line="480" w:lineRule="auto"/>
        <w:contextualSpacing/>
        <w:rPr>
          <w:rFonts w:ascii="Times New Roman" w:eastAsia="Times New Roman" w:hAnsi="Times New Roman" w:cs="Times New Roman"/>
          <w:b/>
          <w:sz w:val="24"/>
          <w:szCs w:val="24"/>
        </w:rPr>
      </w:pPr>
      <w:r w:rsidRPr="00831001">
        <w:rPr>
          <w:rFonts w:ascii="Times New Roman" w:eastAsia="Times New Roman" w:hAnsi="Times New Roman" w:cs="Times New Roman"/>
          <w:b/>
          <w:sz w:val="24"/>
          <w:szCs w:val="24"/>
        </w:rPr>
        <w:t>LITERATURE REVIEW</w:t>
      </w:r>
    </w:p>
    <w:p w:rsidR="00416A0F" w:rsidRPr="00C60BBF" w:rsidRDefault="00416A0F" w:rsidP="0038034F">
      <w:pPr>
        <w:spacing w:line="480" w:lineRule="auto"/>
        <w:ind w:firstLine="720"/>
        <w:contextualSpacing/>
        <w:rPr>
          <w:rFonts w:ascii="Times New Roman" w:eastAsia="Calibri" w:hAnsi="Times New Roman" w:cs="Times New Roman"/>
          <w:color w:val="FF0000"/>
          <w:sz w:val="24"/>
          <w:szCs w:val="24"/>
        </w:rPr>
      </w:pPr>
      <w:r w:rsidRPr="00416A0F">
        <w:rPr>
          <w:rFonts w:ascii="Times New Roman" w:eastAsia="Calibri" w:hAnsi="Times New Roman" w:cs="Times New Roman"/>
          <w:sz w:val="24"/>
          <w:szCs w:val="24"/>
        </w:rPr>
        <w:t xml:space="preserve">A literature </w:t>
      </w:r>
      <w:r w:rsidRPr="00831001">
        <w:rPr>
          <w:rFonts w:ascii="Times New Roman" w:eastAsia="Calibri" w:hAnsi="Times New Roman" w:cs="Times New Roman"/>
          <w:sz w:val="24"/>
          <w:szCs w:val="24"/>
        </w:rPr>
        <w:t xml:space="preserve">review </w:t>
      </w:r>
      <w:r w:rsidR="001948B5" w:rsidRPr="00831001">
        <w:rPr>
          <w:rFonts w:ascii="Times New Roman" w:eastAsia="Calibri" w:hAnsi="Times New Roman" w:cs="Times New Roman"/>
          <w:sz w:val="24"/>
          <w:szCs w:val="24"/>
        </w:rPr>
        <w:t xml:space="preserve">confirmed </w:t>
      </w:r>
      <w:r w:rsidR="009E29C7" w:rsidRPr="00831001">
        <w:rPr>
          <w:rFonts w:ascii="Times New Roman" w:eastAsia="Calibri" w:hAnsi="Times New Roman" w:cs="Times New Roman"/>
          <w:sz w:val="24"/>
          <w:szCs w:val="24"/>
        </w:rPr>
        <w:t>the use of surveillance studies to assess the level of disease</w:t>
      </w:r>
      <w:r w:rsidR="001948B5" w:rsidRPr="00831001">
        <w:rPr>
          <w:rFonts w:ascii="Times New Roman" w:eastAsia="Calibri" w:hAnsi="Times New Roman" w:cs="Times New Roman"/>
          <w:sz w:val="24"/>
          <w:szCs w:val="24"/>
        </w:rPr>
        <w:t>, and</w:t>
      </w:r>
      <w:r w:rsidR="009E29C7" w:rsidRPr="00831001">
        <w:rPr>
          <w:rFonts w:ascii="Times New Roman" w:eastAsia="Calibri" w:hAnsi="Times New Roman" w:cs="Times New Roman"/>
          <w:sz w:val="24"/>
          <w:szCs w:val="24"/>
        </w:rPr>
        <w:t xml:space="preserve"> to study </w:t>
      </w:r>
      <w:r w:rsidR="00EB4296">
        <w:rPr>
          <w:rFonts w:ascii="Times New Roman" w:eastAsia="Calibri" w:hAnsi="Times New Roman" w:cs="Times New Roman"/>
          <w:sz w:val="24"/>
          <w:szCs w:val="24"/>
        </w:rPr>
        <w:t>the level of p</w:t>
      </w:r>
      <w:r w:rsidRPr="00831001">
        <w:rPr>
          <w:rFonts w:ascii="Times New Roman" w:eastAsia="Calibri" w:hAnsi="Times New Roman" w:cs="Times New Roman"/>
          <w:sz w:val="24"/>
          <w:szCs w:val="24"/>
        </w:rPr>
        <w:t xml:space="preserve">eriodontal assessment and </w:t>
      </w:r>
      <w:r w:rsidR="001948B5" w:rsidRPr="00831001">
        <w:rPr>
          <w:rFonts w:ascii="Times New Roman" w:eastAsia="Calibri" w:hAnsi="Times New Roman" w:cs="Times New Roman"/>
          <w:sz w:val="24"/>
          <w:szCs w:val="24"/>
        </w:rPr>
        <w:t xml:space="preserve">diagnostic protocols practiced </w:t>
      </w:r>
      <w:r w:rsidRPr="00831001">
        <w:rPr>
          <w:rFonts w:ascii="Times New Roman" w:eastAsia="Calibri" w:hAnsi="Times New Roman" w:cs="Times New Roman"/>
          <w:sz w:val="24"/>
          <w:szCs w:val="24"/>
        </w:rPr>
        <w:t>in dentistry. The examination of specific periodontal diagnostic procedures included use of p</w:t>
      </w:r>
      <w:r w:rsidR="00831001" w:rsidRPr="00831001">
        <w:rPr>
          <w:rFonts w:ascii="Times New Roman" w:eastAsia="Calibri" w:hAnsi="Times New Roman" w:cs="Times New Roman"/>
          <w:sz w:val="24"/>
          <w:szCs w:val="24"/>
        </w:rPr>
        <w:t>eriodo</w:t>
      </w:r>
      <w:r w:rsidR="002D0E04">
        <w:rPr>
          <w:rFonts w:ascii="Times New Roman" w:eastAsia="Calibri" w:hAnsi="Times New Roman" w:cs="Times New Roman"/>
          <w:sz w:val="24"/>
          <w:szCs w:val="24"/>
        </w:rPr>
        <w:t>ntal assessment protocol,</w:t>
      </w:r>
      <w:r w:rsidR="00831001" w:rsidRPr="00831001">
        <w:rPr>
          <w:rFonts w:ascii="Times New Roman" w:eastAsia="Calibri" w:hAnsi="Times New Roman" w:cs="Times New Roman"/>
          <w:sz w:val="24"/>
          <w:szCs w:val="24"/>
        </w:rPr>
        <w:t xml:space="preserve"> radiographs, and</w:t>
      </w:r>
      <w:r w:rsidRPr="00831001">
        <w:rPr>
          <w:rFonts w:ascii="Times New Roman" w:eastAsia="Calibri" w:hAnsi="Times New Roman" w:cs="Times New Roman"/>
          <w:sz w:val="24"/>
          <w:szCs w:val="24"/>
        </w:rPr>
        <w:t xml:space="preserve"> frequency of pat</w:t>
      </w:r>
      <w:r w:rsidR="00E22321" w:rsidRPr="00831001">
        <w:rPr>
          <w:rFonts w:ascii="Times New Roman" w:eastAsia="Calibri" w:hAnsi="Times New Roman" w:cs="Times New Roman"/>
          <w:sz w:val="24"/>
          <w:szCs w:val="24"/>
        </w:rPr>
        <w:t>ient referral</w:t>
      </w:r>
      <w:r w:rsidR="00C60BBF" w:rsidRPr="00831001">
        <w:rPr>
          <w:rFonts w:ascii="Times New Roman" w:eastAsia="Calibri" w:hAnsi="Times New Roman" w:cs="Times New Roman"/>
          <w:sz w:val="24"/>
          <w:szCs w:val="24"/>
        </w:rPr>
        <w:t>s</w:t>
      </w:r>
      <w:r w:rsidR="00E22321" w:rsidRPr="00831001">
        <w:rPr>
          <w:rFonts w:ascii="Times New Roman" w:eastAsia="Calibri" w:hAnsi="Times New Roman" w:cs="Times New Roman"/>
          <w:sz w:val="24"/>
          <w:szCs w:val="24"/>
        </w:rPr>
        <w:t xml:space="preserve"> to periodontists for </w:t>
      </w:r>
      <w:r w:rsidR="00E22321">
        <w:rPr>
          <w:rFonts w:ascii="Times New Roman" w:eastAsia="Calibri" w:hAnsi="Times New Roman" w:cs="Times New Roman"/>
          <w:sz w:val="24"/>
          <w:szCs w:val="24"/>
        </w:rPr>
        <w:t>specialty care</w:t>
      </w:r>
      <w:r w:rsidR="0038034F">
        <w:rPr>
          <w:rFonts w:ascii="Times New Roman" w:eastAsia="Calibri" w:hAnsi="Times New Roman" w:cs="Times New Roman"/>
          <w:sz w:val="24"/>
          <w:szCs w:val="24"/>
        </w:rPr>
        <w:t>.</w:t>
      </w:r>
    </w:p>
    <w:p w:rsidR="00416A0F" w:rsidRPr="00416A0F" w:rsidRDefault="00416A0F" w:rsidP="00FC7E46">
      <w:pPr>
        <w:spacing w:line="480" w:lineRule="auto"/>
        <w:contextualSpacing/>
        <w:rPr>
          <w:rFonts w:ascii="Times New Roman" w:eastAsia="Calibri" w:hAnsi="Times New Roman" w:cs="Times New Roman"/>
          <w:b/>
          <w:sz w:val="24"/>
          <w:szCs w:val="24"/>
        </w:rPr>
      </w:pPr>
      <w:r w:rsidRPr="00416A0F">
        <w:rPr>
          <w:rFonts w:ascii="Times New Roman" w:eastAsia="Calibri" w:hAnsi="Times New Roman" w:cs="Times New Roman"/>
          <w:b/>
          <w:sz w:val="24"/>
          <w:szCs w:val="24"/>
        </w:rPr>
        <w:t>Periodontal Disease Surveillance</w:t>
      </w:r>
    </w:p>
    <w:p w:rsidR="00416A0F" w:rsidRPr="002B7573" w:rsidRDefault="00416A0F" w:rsidP="00FC7E46">
      <w:pPr>
        <w:spacing w:line="480" w:lineRule="auto"/>
        <w:ind w:firstLine="720"/>
        <w:contextualSpacing/>
        <w:rPr>
          <w:rFonts w:ascii="Times New Roman" w:eastAsia="Calibri" w:hAnsi="Times New Roman" w:cs="Times New Roman"/>
          <w:sz w:val="24"/>
          <w:szCs w:val="24"/>
        </w:rPr>
      </w:pPr>
      <w:r w:rsidRPr="00416A0F">
        <w:rPr>
          <w:rFonts w:ascii="Times New Roman" w:eastAsia="Calibri" w:hAnsi="Times New Roman" w:cs="Times New Roman"/>
          <w:sz w:val="24"/>
          <w:szCs w:val="24"/>
        </w:rPr>
        <w:t>Surveillance studies are fundamental to the study of periodontal disease and the reporting of prevalence</w:t>
      </w:r>
      <w:r w:rsidRPr="0038034F">
        <w:rPr>
          <w:rFonts w:ascii="Times New Roman" w:eastAsia="Calibri" w:hAnsi="Times New Roman" w:cs="Times New Roman"/>
          <w:sz w:val="24"/>
          <w:szCs w:val="24"/>
        </w:rPr>
        <w:t xml:space="preserve">. </w:t>
      </w:r>
      <w:r w:rsidR="00AF2515" w:rsidRPr="002B7573">
        <w:rPr>
          <w:rFonts w:ascii="Times New Roman" w:eastAsia="Calibri" w:hAnsi="Times New Roman" w:cs="Times New Roman"/>
          <w:sz w:val="24"/>
          <w:szCs w:val="24"/>
        </w:rPr>
        <w:t xml:space="preserve">Generally, oral health surveys for large population samples utilize fixed probing sites on </w:t>
      </w:r>
      <w:r w:rsidR="00F875FE">
        <w:rPr>
          <w:rFonts w:ascii="Times New Roman" w:eastAsia="Calibri" w:hAnsi="Times New Roman" w:cs="Times New Roman"/>
          <w:sz w:val="24"/>
          <w:szCs w:val="24"/>
        </w:rPr>
        <w:t xml:space="preserve">a </w:t>
      </w:r>
      <w:r w:rsidR="00AF2515" w:rsidRPr="002B7573">
        <w:rPr>
          <w:rFonts w:ascii="Times New Roman" w:eastAsia="Calibri" w:hAnsi="Times New Roman" w:cs="Times New Roman"/>
          <w:sz w:val="24"/>
          <w:szCs w:val="24"/>
        </w:rPr>
        <w:t>randomly chosen maxillary quadrant and one mandibular quadrant rather than ful</w:t>
      </w:r>
      <w:r w:rsidR="00F875FE">
        <w:rPr>
          <w:rFonts w:ascii="Times New Roman" w:eastAsia="Calibri" w:hAnsi="Times New Roman" w:cs="Times New Roman"/>
          <w:sz w:val="24"/>
          <w:szCs w:val="24"/>
        </w:rPr>
        <w:t>l-mouth probing</w:t>
      </w:r>
      <w:r w:rsidR="00AF2515" w:rsidRPr="002446D3">
        <w:rPr>
          <w:rFonts w:ascii="Times New Roman" w:eastAsia="Calibri" w:hAnsi="Times New Roman" w:cs="Times New Roman"/>
          <w:sz w:val="24"/>
          <w:szCs w:val="24"/>
        </w:rPr>
        <w:t xml:space="preserve">.  </w:t>
      </w:r>
      <w:r w:rsidR="00E546C3" w:rsidRPr="002446D3">
        <w:rPr>
          <w:rFonts w:ascii="Times New Roman" w:eastAsia="Calibri" w:hAnsi="Times New Roman" w:cs="Times New Roman"/>
          <w:sz w:val="24"/>
          <w:szCs w:val="24"/>
        </w:rPr>
        <w:t xml:space="preserve">Some of the </w:t>
      </w:r>
      <w:r w:rsidR="00861055" w:rsidRPr="002446D3">
        <w:rPr>
          <w:rFonts w:ascii="Times New Roman" w:eastAsia="Calibri" w:hAnsi="Times New Roman" w:cs="Times New Roman"/>
          <w:sz w:val="24"/>
          <w:szCs w:val="24"/>
        </w:rPr>
        <w:t>earliest periodontal survey</w:t>
      </w:r>
      <w:r w:rsidR="00E546C3" w:rsidRPr="002446D3">
        <w:rPr>
          <w:rFonts w:ascii="Times New Roman" w:eastAsia="Calibri" w:hAnsi="Times New Roman" w:cs="Times New Roman"/>
          <w:sz w:val="24"/>
          <w:szCs w:val="24"/>
        </w:rPr>
        <w:t>s</w:t>
      </w:r>
      <w:r w:rsidR="00AF2515" w:rsidRPr="002446D3">
        <w:rPr>
          <w:rFonts w:ascii="Times New Roman" w:eastAsia="Calibri" w:hAnsi="Times New Roman" w:cs="Times New Roman"/>
          <w:sz w:val="24"/>
          <w:szCs w:val="24"/>
        </w:rPr>
        <w:t xml:space="preserve"> collected data by visually </w:t>
      </w:r>
      <w:r w:rsidR="00A63B25" w:rsidRPr="002446D3">
        <w:rPr>
          <w:rFonts w:ascii="Times New Roman" w:eastAsia="Calibri" w:hAnsi="Times New Roman" w:cs="Times New Roman"/>
          <w:sz w:val="24"/>
          <w:szCs w:val="24"/>
        </w:rPr>
        <w:t xml:space="preserve">assessing </w:t>
      </w:r>
      <w:proofErr w:type="gramStart"/>
      <w:r w:rsidR="00A63B25" w:rsidRPr="002446D3">
        <w:rPr>
          <w:rFonts w:ascii="Times New Roman" w:eastAsia="Calibri" w:hAnsi="Times New Roman" w:cs="Times New Roman"/>
          <w:sz w:val="24"/>
          <w:szCs w:val="24"/>
        </w:rPr>
        <w:t xml:space="preserve">periodontal  </w:t>
      </w:r>
      <w:r w:rsidR="00861055" w:rsidRPr="002446D3">
        <w:rPr>
          <w:rFonts w:ascii="Times New Roman" w:eastAsia="Calibri" w:hAnsi="Times New Roman" w:cs="Times New Roman"/>
          <w:sz w:val="24"/>
          <w:szCs w:val="24"/>
        </w:rPr>
        <w:t>status</w:t>
      </w:r>
      <w:proofErr w:type="gramEnd"/>
      <w:r w:rsidR="00861055" w:rsidRPr="002446D3">
        <w:rPr>
          <w:rFonts w:ascii="Times New Roman" w:eastAsia="Calibri" w:hAnsi="Times New Roman" w:cs="Times New Roman"/>
          <w:sz w:val="24"/>
          <w:szCs w:val="24"/>
        </w:rPr>
        <w:t xml:space="preserve"> in the </w:t>
      </w:r>
      <w:r w:rsidR="00E546C3" w:rsidRPr="002446D3">
        <w:rPr>
          <w:rFonts w:ascii="Times New Roman" w:eastAsia="Calibri" w:hAnsi="Times New Roman" w:cs="Times New Roman"/>
          <w:sz w:val="24"/>
          <w:szCs w:val="24"/>
        </w:rPr>
        <w:t xml:space="preserve">1960-1962 Health Examination Survey and the </w:t>
      </w:r>
      <w:r w:rsidR="00861055" w:rsidRPr="002446D3">
        <w:rPr>
          <w:rFonts w:ascii="Times New Roman" w:eastAsia="Calibri" w:hAnsi="Times New Roman" w:cs="Times New Roman"/>
          <w:sz w:val="24"/>
          <w:szCs w:val="24"/>
        </w:rPr>
        <w:t xml:space="preserve">1971-1974 National </w:t>
      </w:r>
      <w:r w:rsidR="00861055" w:rsidRPr="002446D3">
        <w:rPr>
          <w:rFonts w:ascii="Times New Roman" w:eastAsia="Calibri" w:hAnsi="Times New Roman" w:cs="Times New Roman"/>
          <w:sz w:val="24"/>
          <w:szCs w:val="24"/>
        </w:rPr>
        <w:lastRenderedPageBreak/>
        <w:t>Health and Nutrition Examination Survey (NHANES)</w:t>
      </w:r>
      <w:r w:rsidR="00421B68" w:rsidRPr="002446D3">
        <w:rPr>
          <w:rFonts w:ascii="Times New Roman" w:eastAsia="Calibri" w:hAnsi="Times New Roman" w:cs="Times New Roman"/>
          <w:sz w:val="24"/>
          <w:szCs w:val="24"/>
        </w:rPr>
        <w:t>.</w:t>
      </w:r>
      <w:r w:rsidR="00421B68">
        <w:rPr>
          <w:rFonts w:ascii="Times New Roman" w:eastAsia="Calibri" w:hAnsi="Times New Roman" w:cs="Times New Roman"/>
          <w:sz w:val="24"/>
          <w:szCs w:val="24"/>
        </w:rPr>
        <w:t xml:space="preserve"> Subsequent surveys, National Institute of Dental and Craniofacial Research (NIDCR)</w:t>
      </w:r>
      <w:r w:rsidR="00861055">
        <w:rPr>
          <w:rFonts w:ascii="Times New Roman" w:eastAsia="Calibri" w:hAnsi="Times New Roman" w:cs="Times New Roman"/>
          <w:sz w:val="24"/>
          <w:szCs w:val="24"/>
        </w:rPr>
        <w:t xml:space="preserve"> Survey of Employed Adults and Seniors 1985-1986, NHANES III 1988-1994, and NHANES 1999-2004</w:t>
      </w:r>
      <w:r w:rsidR="00421B68">
        <w:rPr>
          <w:rFonts w:ascii="Times New Roman" w:eastAsia="Calibri" w:hAnsi="Times New Roman" w:cs="Times New Roman"/>
          <w:sz w:val="24"/>
          <w:szCs w:val="24"/>
        </w:rPr>
        <w:t xml:space="preserve"> used</w:t>
      </w:r>
      <w:r w:rsidR="00861055">
        <w:rPr>
          <w:rFonts w:ascii="Times New Roman" w:eastAsia="Calibri" w:hAnsi="Times New Roman" w:cs="Times New Roman"/>
          <w:sz w:val="24"/>
          <w:szCs w:val="24"/>
        </w:rPr>
        <w:t xml:space="preserve"> various partial-mouth periodontal examination protocols</w:t>
      </w:r>
      <w:r w:rsidR="00BF4CC7">
        <w:rPr>
          <w:rFonts w:ascii="Times New Roman" w:eastAsia="Calibri" w:hAnsi="Times New Roman" w:cs="Times New Roman"/>
          <w:sz w:val="24"/>
          <w:szCs w:val="24"/>
        </w:rPr>
        <w:t xml:space="preserve"> (PMPE</w:t>
      </w:r>
      <w:r w:rsidR="00861055">
        <w:rPr>
          <w:rFonts w:ascii="Times New Roman" w:eastAsia="Calibri" w:hAnsi="Times New Roman" w:cs="Times New Roman"/>
          <w:sz w:val="24"/>
          <w:szCs w:val="24"/>
        </w:rPr>
        <w:t>).</w:t>
      </w:r>
      <w:r w:rsidR="00861055">
        <w:rPr>
          <w:rFonts w:ascii="Times New Roman" w:eastAsia="Calibri" w:hAnsi="Times New Roman" w:cs="Times New Roman"/>
          <w:sz w:val="24"/>
          <w:szCs w:val="24"/>
          <w:vertAlign w:val="superscript"/>
        </w:rPr>
        <w:t xml:space="preserve">4 </w:t>
      </w:r>
      <w:r w:rsidR="00861055">
        <w:rPr>
          <w:rFonts w:ascii="Times New Roman" w:eastAsia="Calibri" w:hAnsi="Times New Roman" w:cs="Times New Roman"/>
          <w:sz w:val="24"/>
          <w:szCs w:val="24"/>
        </w:rPr>
        <w:t xml:space="preserve"> </w:t>
      </w:r>
      <w:r w:rsidR="00861055" w:rsidRPr="002446D3">
        <w:rPr>
          <w:rFonts w:ascii="Times New Roman" w:eastAsia="Calibri" w:hAnsi="Times New Roman" w:cs="Times New Roman"/>
          <w:sz w:val="24"/>
          <w:szCs w:val="24"/>
        </w:rPr>
        <w:t xml:space="preserve">PMPEs used in NHANES surveys have evolved from using </w:t>
      </w:r>
      <w:r w:rsidR="00DC1D1F" w:rsidRPr="002446D3">
        <w:rPr>
          <w:rFonts w:ascii="Times New Roman" w:eastAsia="Calibri" w:hAnsi="Times New Roman" w:cs="Times New Roman"/>
          <w:sz w:val="24"/>
          <w:szCs w:val="24"/>
        </w:rPr>
        <w:t xml:space="preserve">two randomly selected quadrant measurements </w:t>
      </w:r>
      <w:r w:rsidR="00861055" w:rsidRPr="002446D3">
        <w:rPr>
          <w:rFonts w:ascii="Times New Roman" w:eastAsia="Calibri" w:hAnsi="Times New Roman" w:cs="Times New Roman"/>
          <w:sz w:val="24"/>
          <w:szCs w:val="24"/>
        </w:rPr>
        <w:t>assess</w:t>
      </w:r>
      <w:r w:rsidR="00DC1D1F" w:rsidRPr="002446D3">
        <w:rPr>
          <w:rFonts w:ascii="Times New Roman" w:eastAsia="Calibri" w:hAnsi="Times New Roman" w:cs="Times New Roman"/>
          <w:sz w:val="24"/>
          <w:szCs w:val="24"/>
        </w:rPr>
        <w:t>ing</w:t>
      </w:r>
      <w:r w:rsidR="00861055" w:rsidRPr="002446D3">
        <w:rPr>
          <w:rFonts w:ascii="Times New Roman" w:eastAsia="Calibri" w:hAnsi="Times New Roman" w:cs="Times New Roman"/>
          <w:sz w:val="24"/>
          <w:szCs w:val="24"/>
        </w:rPr>
        <w:t xml:space="preserve"> probing depth and attachment loss at two s</w:t>
      </w:r>
      <w:r w:rsidR="00DC1D1F" w:rsidRPr="002446D3">
        <w:rPr>
          <w:rFonts w:ascii="Times New Roman" w:eastAsia="Calibri" w:hAnsi="Times New Roman" w:cs="Times New Roman"/>
          <w:sz w:val="24"/>
          <w:szCs w:val="24"/>
        </w:rPr>
        <w:t>ites per tooth to assessing</w:t>
      </w:r>
      <w:r w:rsidR="00861055" w:rsidRPr="002446D3">
        <w:rPr>
          <w:rFonts w:ascii="Times New Roman" w:eastAsia="Calibri" w:hAnsi="Times New Roman" w:cs="Times New Roman"/>
          <w:sz w:val="24"/>
          <w:szCs w:val="24"/>
        </w:rPr>
        <w:t xml:space="preserve"> three sites per tooth in NHANES 2001-2004.</w:t>
      </w:r>
      <w:r w:rsidR="00861055" w:rsidRPr="002446D3">
        <w:rPr>
          <w:rFonts w:ascii="Times New Roman" w:eastAsia="Calibri" w:hAnsi="Times New Roman" w:cs="Times New Roman"/>
          <w:sz w:val="24"/>
          <w:szCs w:val="24"/>
          <w:vertAlign w:val="superscript"/>
        </w:rPr>
        <w:t>4</w:t>
      </w:r>
      <w:r w:rsidR="00861055">
        <w:rPr>
          <w:rFonts w:ascii="Times New Roman" w:eastAsia="Calibri" w:hAnsi="Times New Roman" w:cs="Times New Roman"/>
          <w:sz w:val="24"/>
          <w:szCs w:val="24"/>
        </w:rPr>
        <w:t xml:space="preserve">  T</w:t>
      </w:r>
      <w:r w:rsidR="0038034F" w:rsidRPr="0038034F">
        <w:rPr>
          <w:rFonts w:ascii="Times New Roman" w:eastAsia="Calibri" w:hAnsi="Times New Roman" w:cs="Times New Roman"/>
          <w:sz w:val="24"/>
          <w:szCs w:val="24"/>
        </w:rPr>
        <w:t>he benefit</w:t>
      </w:r>
      <w:r w:rsidR="00A864B4">
        <w:rPr>
          <w:rFonts w:ascii="Times New Roman" w:eastAsia="Calibri" w:hAnsi="Times New Roman" w:cs="Times New Roman"/>
          <w:sz w:val="24"/>
          <w:szCs w:val="24"/>
        </w:rPr>
        <w:t>s</w:t>
      </w:r>
      <w:r w:rsidR="00861055">
        <w:rPr>
          <w:rFonts w:ascii="Times New Roman" w:eastAsia="Calibri" w:hAnsi="Times New Roman" w:cs="Times New Roman"/>
          <w:sz w:val="24"/>
          <w:szCs w:val="24"/>
        </w:rPr>
        <w:t xml:space="preserve"> of PMPEs</w:t>
      </w:r>
      <w:r w:rsidR="0038034F" w:rsidRPr="0038034F">
        <w:rPr>
          <w:rFonts w:ascii="Times New Roman" w:eastAsia="Calibri" w:hAnsi="Times New Roman" w:cs="Times New Roman"/>
          <w:sz w:val="24"/>
          <w:szCs w:val="24"/>
        </w:rPr>
        <w:t xml:space="preserve"> </w:t>
      </w:r>
      <w:r w:rsidR="00A864B4">
        <w:rPr>
          <w:rFonts w:ascii="Times New Roman" w:eastAsia="Calibri" w:hAnsi="Times New Roman" w:cs="Times New Roman"/>
          <w:sz w:val="24"/>
          <w:szCs w:val="24"/>
        </w:rPr>
        <w:t>are time efficiency and surveying</w:t>
      </w:r>
      <w:r w:rsidR="00DE612C" w:rsidRPr="0038034F">
        <w:rPr>
          <w:rFonts w:ascii="Times New Roman" w:eastAsia="Calibri" w:hAnsi="Times New Roman" w:cs="Times New Roman"/>
          <w:sz w:val="24"/>
          <w:szCs w:val="24"/>
        </w:rPr>
        <w:t xml:space="preserve"> national populations.</w:t>
      </w:r>
      <w:r w:rsidRPr="00DE612C">
        <w:rPr>
          <w:rFonts w:ascii="Times New Roman" w:eastAsia="Calibri" w:hAnsi="Times New Roman" w:cs="Times New Roman"/>
          <w:color w:val="FF0000"/>
          <w:sz w:val="24"/>
          <w:szCs w:val="24"/>
        </w:rPr>
        <w:t xml:space="preserve"> </w:t>
      </w:r>
      <w:r w:rsidR="00421B68">
        <w:rPr>
          <w:rFonts w:ascii="Times New Roman" w:eastAsia="Calibri" w:hAnsi="Times New Roman" w:cs="Times New Roman"/>
          <w:sz w:val="24"/>
          <w:szCs w:val="24"/>
        </w:rPr>
        <w:t>However, when PMPEs</w:t>
      </w:r>
      <w:r w:rsidRPr="002B7573">
        <w:rPr>
          <w:rFonts w:ascii="Times New Roman" w:eastAsia="Calibri" w:hAnsi="Times New Roman" w:cs="Times New Roman"/>
          <w:sz w:val="24"/>
          <w:szCs w:val="24"/>
        </w:rPr>
        <w:t xml:space="preserve"> were used to determine disease prevalence, there was an underestimation of per</w:t>
      </w:r>
      <w:r w:rsidR="00E22321" w:rsidRPr="002B7573">
        <w:rPr>
          <w:rFonts w:ascii="Times New Roman" w:eastAsia="Calibri" w:hAnsi="Times New Roman" w:cs="Times New Roman"/>
          <w:sz w:val="24"/>
          <w:szCs w:val="24"/>
        </w:rPr>
        <w:t>iodontal disease diagnosis</w:t>
      </w:r>
      <w:r w:rsidR="00DE612C" w:rsidRPr="002B7573">
        <w:rPr>
          <w:rFonts w:ascii="Times New Roman" w:eastAsia="Calibri" w:hAnsi="Times New Roman" w:cs="Times New Roman"/>
          <w:sz w:val="24"/>
          <w:szCs w:val="24"/>
        </w:rPr>
        <w:t xml:space="preserve"> due to not providing a complete evaluation of the patie</w:t>
      </w:r>
      <w:r w:rsidR="002B7573" w:rsidRPr="002B7573">
        <w:rPr>
          <w:rFonts w:ascii="Times New Roman" w:eastAsia="Calibri" w:hAnsi="Times New Roman" w:cs="Times New Roman"/>
          <w:sz w:val="24"/>
          <w:szCs w:val="24"/>
        </w:rPr>
        <w:t>nt’s periodontal status</w:t>
      </w:r>
      <w:r w:rsidR="00DE612C" w:rsidRPr="002B7573">
        <w:rPr>
          <w:rFonts w:ascii="Times New Roman" w:eastAsia="Calibri" w:hAnsi="Times New Roman" w:cs="Times New Roman"/>
          <w:sz w:val="24"/>
          <w:szCs w:val="24"/>
        </w:rPr>
        <w:t>.</w:t>
      </w:r>
      <w:r w:rsidR="00AF2515">
        <w:rPr>
          <w:rFonts w:ascii="Times New Roman" w:eastAsia="Calibri" w:hAnsi="Times New Roman" w:cs="Times New Roman"/>
          <w:sz w:val="24"/>
          <w:szCs w:val="24"/>
          <w:vertAlign w:val="superscript"/>
        </w:rPr>
        <w:t>4</w:t>
      </w:r>
      <w:proofErr w:type="gramStart"/>
      <w:r w:rsidR="00AF2515">
        <w:rPr>
          <w:rFonts w:ascii="Times New Roman" w:eastAsia="Calibri" w:hAnsi="Times New Roman" w:cs="Times New Roman"/>
          <w:sz w:val="24"/>
          <w:szCs w:val="24"/>
          <w:vertAlign w:val="superscript"/>
        </w:rPr>
        <w:t>,5</w:t>
      </w:r>
      <w:r w:rsidR="00E22321" w:rsidRPr="002B7573">
        <w:rPr>
          <w:rFonts w:ascii="Times New Roman" w:eastAsia="Calibri" w:hAnsi="Times New Roman" w:cs="Times New Roman"/>
          <w:sz w:val="24"/>
          <w:szCs w:val="24"/>
          <w:vertAlign w:val="superscript"/>
        </w:rPr>
        <w:t>,7,8</w:t>
      </w:r>
      <w:proofErr w:type="gramEnd"/>
      <w:r w:rsidRPr="002B7573">
        <w:rPr>
          <w:rFonts w:ascii="Times New Roman" w:eastAsia="Calibri" w:hAnsi="Times New Roman" w:cs="Times New Roman"/>
          <w:sz w:val="24"/>
          <w:szCs w:val="24"/>
        </w:rPr>
        <w:t xml:space="preserve"> </w:t>
      </w:r>
    </w:p>
    <w:p w:rsidR="00416A0F" w:rsidRPr="00E8492B" w:rsidRDefault="00416A0F" w:rsidP="00FC7E46">
      <w:pPr>
        <w:spacing w:line="480" w:lineRule="auto"/>
        <w:ind w:firstLine="720"/>
        <w:contextualSpacing/>
        <w:rPr>
          <w:rFonts w:ascii="Times New Roman" w:eastAsia="Calibri" w:hAnsi="Times New Roman" w:cs="Times New Roman"/>
          <w:strike/>
          <w:color w:val="FF0000"/>
          <w:sz w:val="24"/>
          <w:szCs w:val="24"/>
          <w:vertAlign w:val="superscript"/>
        </w:rPr>
      </w:pPr>
      <w:r w:rsidRPr="002B7573">
        <w:rPr>
          <w:rFonts w:ascii="Times New Roman" w:eastAsia="Calibri" w:hAnsi="Times New Roman" w:cs="Times New Roman"/>
          <w:sz w:val="24"/>
          <w:szCs w:val="24"/>
        </w:rPr>
        <w:t xml:space="preserve">As a result of previous </w:t>
      </w:r>
      <w:r w:rsidR="00DE612C" w:rsidRPr="002B7573">
        <w:rPr>
          <w:rFonts w:ascii="Times New Roman" w:eastAsia="Calibri" w:hAnsi="Times New Roman" w:cs="Times New Roman"/>
          <w:sz w:val="24"/>
          <w:szCs w:val="24"/>
        </w:rPr>
        <w:t xml:space="preserve">estimates of periodontal </w:t>
      </w:r>
      <w:r w:rsidR="00BF4CC7">
        <w:rPr>
          <w:rFonts w:ascii="Times New Roman" w:eastAsia="Calibri" w:hAnsi="Times New Roman" w:cs="Times New Roman"/>
          <w:sz w:val="24"/>
          <w:szCs w:val="24"/>
        </w:rPr>
        <w:t>disease prevalence using the PMPE</w:t>
      </w:r>
      <w:r w:rsidR="002B7573" w:rsidRPr="002B7573">
        <w:rPr>
          <w:rFonts w:ascii="Times New Roman" w:eastAsia="Calibri" w:hAnsi="Times New Roman" w:cs="Times New Roman"/>
          <w:sz w:val="24"/>
          <w:szCs w:val="24"/>
        </w:rPr>
        <w:t>s</w:t>
      </w:r>
      <w:r w:rsidR="00AF2515">
        <w:rPr>
          <w:rFonts w:ascii="Times New Roman" w:eastAsia="Calibri" w:hAnsi="Times New Roman" w:cs="Times New Roman"/>
          <w:sz w:val="24"/>
          <w:szCs w:val="24"/>
        </w:rPr>
        <w:t>, the</w:t>
      </w:r>
      <w:r w:rsidR="00BF4CC7">
        <w:rPr>
          <w:rFonts w:ascii="Times New Roman" w:eastAsia="Calibri" w:hAnsi="Times New Roman" w:cs="Times New Roman"/>
          <w:sz w:val="24"/>
          <w:szCs w:val="24"/>
        </w:rPr>
        <w:t xml:space="preserve"> </w:t>
      </w:r>
      <w:r w:rsidRPr="002B7573">
        <w:rPr>
          <w:rFonts w:ascii="Times New Roman" w:eastAsia="Calibri" w:hAnsi="Times New Roman" w:cs="Times New Roman"/>
          <w:sz w:val="24"/>
          <w:szCs w:val="24"/>
        </w:rPr>
        <w:t>2009-2010 NHANES instituted the full-mouth periodonta</w:t>
      </w:r>
      <w:r w:rsidR="00AF2515">
        <w:rPr>
          <w:rFonts w:ascii="Times New Roman" w:eastAsia="Calibri" w:hAnsi="Times New Roman" w:cs="Times New Roman"/>
          <w:sz w:val="24"/>
          <w:szCs w:val="24"/>
        </w:rPr>
        <w:t>l examination (FMPE). The 2009-10 study was the first national surveillance sample</w:t>
      </w:r>
      <w:r w:rsidR="00DE612C" w:rsidRPr="002B7573">
        <w:rPr>
          <w:rFonts w:ascii="Times New Roman" w:eastAsia="Calibri" w:hAnsi="Times New Roman" w:cs="Times New Roman"/>
          <w:sz w:val="24"/>
          <w:szCs w:val="24"/>
        </w:rPr>
        <w:t xml:space="preserve"> </w:t>
      </w:r>
      <w:r w:rsidRPr="002B7573">
        <w:rPr>
          <w:rFonts w:ascii="Times New Roman" w:eastAsia="Calibri" w:hAnsi="Times New Roman" w:cs="Times New Roman"/>
          <w:sz w:val="24"/>
          <w:szCs w:val="24"/>
        </w:rPr>
        <w:t xml:space="preserve">used to gather periodontal disease data using six sites per tooth for all teeth, </w:t>
      </w:r>
      <w:r w:rsidR="00DE612C" w:rsidRPr="002B7573">
        <w:rPr>
          <w:rFonts w:ascii="Times New Roman" w:eastAsia="Calibri" w:hAnsi="Times New Roman" w:cs="Times New Roman"/>
          <w:sz w:val="24"/>
          <w:szCs w:val="24"/>
        </w:rPr>
        <w:t xml:space="preserve">excluding </w:t>
      </w:r>
      <w:r w:rsidRPr="002B7573">
        <w:rPr>
          <w:rFonts w:ascii="Times New Roman" w:eastAsia="Calibri" w:hAnsi="Times New Roman" w:cs="Times New Roman"/>
          <w:sz w:val="24"/>
          <w:szCs w:val="24"/>
        </w:rPr>
        <w:t>third m</w:t>
      </w:r>
      <w:r w:rsidR="00DE612C" w:rsidRPr="002B7573">
        <w:rPr>
          <w:rFonts w:ascii="Times New Roman" w:eastAsia="Calibri" w:hAnsi="Times New Roman" w:cs="Times New Roman"/>
          <w:sz w:val="24"/>
          <w:szCs w:val="24"/>
        </w:rPr>
        <w:t>olars. The purpose of the full-</w:t>
      </w:r>
      <w:r w:rsidR="009E29C7" w:rsidRPr="002B7573">
        <w:rPr>
          <w:rFonts w:ascii="Times New Roman" w:eastAsia="Calibri" w:hAnsi="Times New Roman" w:cs="Times New Roman"/>
          <w:sz w:val="24"/>
          <w:szCs w:val="24"/>
        </w:rPr>
        <w:t>mouth study</w:t>
      </w:r>
      <w:r w:rsidRPr="002B7573">
        <w:rPr>
          <w:rFonts w:ascii="Times New Roman" w:eastAsia="Calibri" w:hAnsi="Times New Roman" w:cs="Times New Roman"/>
          <w:sz w:val="24"/>
          <w:szCs w:val="24"/>
        </w:rPr>
        <w:t xml:space="preserve"> was to provide the most accurate data regarding prevalence, extent, and severity of periodontal disease in the United States adult </w:t>
      </w:r>
      <w:r w:rsidR="00777388">
        <w:rPr>
          <w:rFonts w:ascii="Times New Roman" w:eastAsia="Calibri" w:hAnsi="Times New Roman" w:cs="Times New Roman"/>
          <w:sz w:val="24"/>
          <w:szCs w:val="24"/>
        </w:rPr>
        <w:t xml:space="preserve">population. The results of the 2009-10 </w:t>
      </w:r>
      <w:r w:rsidRPr="002B7573">
        <w:rPr>
          <w:rFonts w:ascii="Times New Roman" w:eastAsia="Calibri" w:hAnsi="Times New Roman" w:cs="Times New Roman"/>
          <w:sz w:val="24"/>
          <w:szCs w:val="24"/>
        </w:rPr>
        <w:t>study determined the prevalence of periodontitis (including mild, moderate, and severe case types) for adults 30 years and older was 47.2%, representing 64.7</w:t>
      </w:r>
      <w:r w:rsidR="00A63B25">
        <w:rPr>
          <w:rFonts w:ascii="Times New Roman" w:eastAsia="Calibri" w:hAnsi="Times New Roman" w:cs="Times New Roman"/>
          <w:sz w:val="24"/>
          <w:szCs w:val="24"/>
        </w:rPr>
        <w:t xml:space="preserve"> </w:t>
      </w:r>
      <w:r w:rsidRPr="002B7573">
        <w:rPr>
          <w:rFonts w:ascii="Times New Roman" w:eastAsia="Calibri" w:hAnsi="Times New Roman" w:cs="Times New Roman"/>
          <w:sz w:val="24"/>
          <w:szCs w:val="24"/>
        </w:rPr>
        <w:t>mil</w:t>
      </w:r>
      <w:r w:rsidR="002B7573" w:rsidRPr="002B7573">
        <w:rPr>
          <w:rFonts w:ascii="Times New Roman" w:eastAsia="Calibri" w:hAnsi="Times New Roman" w:cs="Times New Roman"/>
          <w:sz w:val="24"/>
          <w:szCs w:val="24"/>
        </w:rPr>
        <w:t>lion</w:t>
      </w:r>
      <w:r w:rsidRPr="002B7573">
        <w:rPr>
          <w:rFonts w:ascii="Times New Roman" w:eastAsia="Calibri" w:hAnsi="Times New Roman" w:cs="Times New Roman"/>
          <w:sz w:val="24"/>
          <w:szCs w:val="24"/>
        </w:rPr>
        <w:t xml:space="preserve"> in the United States</w:t>
      </w:r>
      <w:r w:rsidR="0038034F">
        <w:rPr>
          <w:rFonts w:ascii="Times New Roman" w:eastAsia="Calibri" w:hAnsi="Times New Roman" w:cs="Times New Roman"/>
          <w:sz w:val="24"/>
          <w:szCs w:val="24"/>
        </w:rPr>
        <w:t>.</w:t>
      </w:r>
      <w:r w:rsidR="00777388">
        <w:rPr>
          <w:rFonts w:ascii="Times New Roman" w:eastAsia="Calibri" w:hAnsi="Times New Roman" w:cs="Times New Roman"/>
          <w:sz w:val="24"/>
          <w:szCs w:val="24"/>
          <w:vertAlign w:val="superscript"/>
        </w:rPr>
        <w:t>4,5</w:t>
      </w:r>
      <w:r w:rsidR="0038034F">
        <w:rPr>
          <w:rFonts w:ascii="Times New Roman" w:eastAsia="Calibri" w:hAnsi="Times New Roman" w:cs="Times New Roman"/>
          <w:sz w:val="24"/>
          <w:szCs w:val="24"/>
        </w:rPr>
        <w:t xml:space="preserve">  Since implementing</w:t>
      </w:r>
      <w:r w:rsidR="00EF6D21" w:rsidRPr="002B7573">
        <w:rPr>
          <w:rFonts w:ascii="Times New Roman" w:eastAsia="Calibri" w:hAnsi="Times New Roman" w:cs="Times New Roman"/>
          <w:sz w:val="24"/>
          <w:szCs w:val="24"/>
        </w:rPr>
        <w:t xml:space="preserve"> </w:t>
      </w:r>
      <w:r w:rsidRPr="002B7573">
        <w:rPr>
          <w:rFonts w:ascii="Times New Roman" w:eastAsia="Calibri" w:hAnsi="Times New Roman" w:cs="Times New Roman"/>
          <w:sz w:val="24"/>
          <w:szCs w:val="24"/>
        </w:rPr>
        <w:t>the full-mouth system</w:t>
      </w:r>
      <w:r w:rsidR="00777388">
        <w:rPr>
          <w:rFonts w:ascii="Times New Roman" w:eastAsia="Calibri" w:hAnsi="Times New Roman" w:cs="Times New Roman"/>
          <w:sz w:val="24"/>
          <w:szCs w:val="24"/>
        </w:rPr>
        <w:t>,</w:t>
      </w:r>
      <w:r w:rsidR="00EF6D21" w:rsidRPr="002B7573">
        <w:rPr>
          <w:rFonts w:ascii="Times New Roman" w:eastAsia="Calibri" w:hAnsi="Times New Roman" w:cs="Times New Roman"/>
          <w:sz w:val="24"/>
          <w:szCs w:val="24"/>
        </w:rPr>
        <w:t xml:space="preserve"> results </w:t>
      </w:r>
      <w:r w:rsidR="00E22321" w:rsidRPr="002B7573">
        <w:rPr>
          <w:rFonts w:ascii="Times New Roman" w:eastAsia="Calibri" w:hAnsi="Times New Roman" w:cs="Times New Roman"/>
          <w:sz w:val="24"/>
          <w:szCs w:val="24"/>
        </w:rPr>
        <w:t>provide</w:t>
      </w:r>
      <w:r w:rsidRPr="002B7573">
        <w:rPr>
          <w:rFonts w:ascii="Times New Roman" w:eastAsia="Calibri" w:hAnsi="Times New Roman" w:cs="Times New Roman"/>
          <w:sz w:val="24"/>
          <w:szCs w:val="24"/>
        </w:rPr>
        <w:t xml:space="preserve"> the most accurate representation of the periodontal status in this country. Previous estimates from the NAHNES III and NHANES 1999-2004, which used partial-mouth recordin</w:t>
      </w:r>
      <w:r w:rsidR="002B7573" w:rsidRPr="002B7573">
        <w:rPr>
          <w:rFonts w:ascii="Times New Roman" w:eastAsia="Calibri" w:hAnsi="Times New Roman" w:cs="Times New Roman"/>
          <w:sz w:val="24"/>
          <w:szCs w:val="24"/>
        </w:rPr>
        <w:t>g, indicated disease prevalence</w:t>
      </w:r>
      <w:r w:rsidRPr="002B7573">
        <w:rPr>
          <w:rFonts w:ascii="Times New Roman" w:eastAsia="Calibri" w:hAnsi="Times New Roman" w:cs="Times New Roman"/>
          <w:sz w:val="24"/>
          <w:szCs w:val="24"/>
        </w:rPr>
        <w:t xml:space="preserve"> </w:t>
      </w:r>
      <w:r w:rsidR="00EF6D21" w:rsidRPr="002B7573">
        <w:rPr>
          <w:rFonts w:ascii="Times New Roman" w:eastAsia="Calibri" w:hAnsi="Times New Roman" w:cs="Times New Roman"/>
          <w:sz w:val="24"/>
          <w:szCs w:val="24"/>
        </w:rPr>
        <w:t xml:space="preserve">as </w:t>
      </w:r>
      <w:r w:rsidRPr="00416A0F">
        <w:rPr>
          <w:rFonts w:ascii="Times New Roman" w:eastAsia="Calibri" w:hAnsi="Times New Roman" w:cs="Times New Roman"/>
          <w:sz w:val="24"/>
          <w:szCs w:val="24"/>
        </w:rPr>
        <w:t>26%</w:t>
      </w:r>
      <w:r w:rsidR="00E22321">
        <w:rPr>
          <w:rFonts w:ascii="Times New Roman" w:eastAsia="Calibri" w:hAnsi="Times New Roman" w:cs="Times New Roman"/>
          <w:sz w:val="24"/>
          <w:szCs w:val="24"/>
        </w:rPr>
        <w:t xml:space="preserve"> and 17%, respectively</w:t>
      </w:r>
      <w:r w:rsidRPr="00416A0F">
        <w:rPr>
          <w:rFonts w:ascii="Times New Roman" w:eastAsia="Calibri" w:hAnsi="Times New Roman" w:cs="Times New Roman"/>
          <w:sz w:val="24"/>
          <w:szCs w:val="24"/>
        </w:rPr>
        <w:t>.</w:t>
      </w:r>
      <w:r w:rsidR="00E22321">
        <w:rPr>
          <w:rFonts w:ascii="Times New Roman" w:eastAsia="Calibri" w:hAnsi="Times New Roman" w:cs="Times New Roman"/>
          <w:sz w:val="24"/>
          <w:szCs w:val="24"/>
          <w:vertAlign w:val="superscript"/>
        </w:rPr>
        <w:t>4</w:t>
      </w:r>
      <w:r w:rsidR="00777388">
        <w:rPr>
          <w:rFonts w:ascii="Times New Roman" w:eastAsia="Calibri" w:hAnsi="Times New Roman" w:cs="Times New Roman"/>
          <w:sz w:val="24"/>
          <w:szCs w:val="24"/>
          <w:vertAlign w:val="superscript"/>
        </w:rPr>
        <w:t>,5</w:t>
      </w:r>
      <w:r w:rsidR="00E22321">
        <w:rPr>
          <w:rFonts w:ascii="Times New Roman" w:eastAsia="Calibri" w:hAnsi="Times New Roman" w:cs="Times New Roman"/>
          <w:sz w:val="24"/>
          <w:szCs w:val="24"/>
          <w:vertAlign w:val="superscript"/>
        </w:rPr>
        <w:t xml:space="preserve"> </w:t>
      </w:r>
      <w:r w:rsidR="0038034F">
        <w:rPr>
          <w:rFonts w:ascii="Times New Roman" w:eastAsia="Calibri" w:hAnsi="Times New Roman" w:cs="Times New Roman"/>
          <w:sz w:val="24"/>
          <w:szCs w:val="24"/>
          <w:vertAlign w:val="superscript"/>
        </w:rPr>
        <w:t xml:space="preserve">  </w:t>
      </w:r>
      <w:r w:rsidR="0038034F">
        <w:rPr>
          <w:rFonts w:ascii="Times New Roman" w:eastAsia="Calibri" w:hAnsi="Times New Roman" w:cs="Times New Roman"/>
          <w:sz w:val="24"/>
          <w:szCs w:val="24"/>
        </w:rPr>
        <w:t>T</w:t>
      </w:r>
      <w:r w:rsidRPr="00416A0F">
        <w:rPr>
          <w:rFonts w:ascii="Times New Roman" w:eastAsia="Calibri" w:hAnsi="Times New Roman" w:cs="Times New Roman"/>
          <w:sz w:val="24"/>
          <w:szCs w:val="24"/>
        </w:rPr>
        <w:t>he inclusion of full-mouth protocol</w:t>
      </w:r>
      <w:r w:rsidR="00E22321">
        <w:rPr>
          <w:rFonts w:ascii="Times New Roman" w:eastAsia="Calibri" w:hAnsi="Times New Roman" w:cs="Times New Roman"/>
          <w:sz w:val="24"/>
          <w:szCs w:val="24"/>
        </w:rPr>
        <w:t>s in the 2009-2010 NHANES</w:t>
      </w:r>
      <w:r w:rsidR="0038034F">
        <w:rPr>
          <w:rFonts w:ascii="Times New Roman" w:eastAsia="Calibri" w:hAnsi="Times New Roman" w:cs="Times New Roman"/>
          <w:color w:val="FF0000"/>
          <w:sz w:val="24"/>
          <w:szCs w:val="24"/>
        </w:rPr>
        <w:t xml:space="preserve"> </w:t>
      </w:r>
      <w:r w:rsidR="0038034F" w:rsidRPr="0038034F">
        <w:rPr>
          <w:rFonts w:ascii="Times New Roman" w:eastAsia="Calibri" w:hAnsi="Times New Roman" w:cs="Times New Roman"/>
          <w:sz w:val="24"/>
          <w:szCs w:val="24"/>
        </w:rPr>
        <w:t xml:space="preserve">revealed </w:t>
      </w:r>
      <w:r w:rsidR="00EF6D21" w:rsidRPr="0038034F">
        <w:rPr>
          <w:rFonts w:ascii="Times New Roman" w:eastAsia="Calibri" w:hAnsi="Times New Roman" w:cs="Times New Roman"/>
          <w:sz w:val="24"/>
          <w:szCs w:val="24"/>
        </w:rPr>
        <w:t>47.</w:t>
      </w:r>
      <w:r w:rsidR="00A63B25">
        <w:rPr>
          <w:rFonts w:ascii="Times New Roman" w:eastAsia="Calibri" w:hAnsi="Times New Roman" w:cs="Times New Roman"/>
          <w:sz w:val="24"/>
          <w:szCs w:val="24"/>
        </w:rPr>
        <w:t>2% prevalence of pe</w:t>
      </w:r>
      <w:r w:rsidR="0038034F" w:rsidRPr="0038034F">
        <w:rPr>
          <w:rFonts w:ascii="Times New Roman" w:eastAsia="Calibri" w:hAnsi="Times New Roman" w:cs="Times New Roman"/>
          <w:sz w:val="24"/>
          <w:szCs w:val="24"/>
        </w:rPr>
        <w:t>riodontitis which</w:t>
      </w:r>
      <w:r w:rsidR="00EF6D21" w:rsidRPr="0038034F">
        <w:rPr>
          <w:rFonts w:ascii="Times New Roman" w:eastAsia="Calibri" w:hAnsi="Times New Roman" w:cs="Times New Roman"/>
          <w:sz w:val="24"/>
          <w:szCs w:val="24"/>
        </w:rPr>
        <w:t xml:space="preserve"> suggests</w:t>
      </w:r>
      <w:r w:rsidRPr="0038034F">
        <w:rPr>
          <w:rFonts w:ascii="Times New Roman" w:eastAsia="Calibri" w:hAnsi="Times New Roman" w:cs="Times New Roman"/>
          <w:sz w:val="24"/>
          <w:szCs w:val="24"/>
        </w:rPr>
        <w:t xml:space="preserve"> </w:t>
      </w:r>
      <w:r w:rsidRPr="00416A0F">
        <w:rPr>
          <w:rFonts w:ascii="Times New Roman" w:eastAsia="Calibri" w:hAnsi="Times New Roman" w:cs="Times New Roman"/>
          <w:sz w:val="24"/>
          <w:szCs w:val="24"/>
        </w:rPr>
        <w:t>there is a national epidemic of periodontal disease</w:t>
      </w:r>
      <w:r w:rsidR="00EF6D21">
        <w:rPr>
          <w:rFonts w:ascii="Times New Roman" w:eastAsia="Calibri" w:hAnsi="Times New Roman" w:cs="Times New Roman"/>
          <w:color w:val="FF0000"/>
          <w:sz w:val="24"/>
          <w:szCs w:val="24"/>
        </w:rPr>
        <w:t>.</w:t>
      </w:r>
      <w:r w:rsidR="00E8492B">
        <w:rPr>
          <w:rFonts w:ascii="Times New Roman" w:eastAsia="Calibri" w:hAnsi="Times New Roman" w:cs="Times New Roman"/>
          <w:sz w:val="24"/>
          <w:szCs w:val="24"/>
          <w:vertAlign w:val="superscript"/>
        </w:rPr>
        <w:t>4,5</w:t>
      </w:r>
    </w:p>
    <w:p w:rsidR="00777388" w:rsidRDefault="00777388" w:rsidP="00AF2515">
      <w:pPr>
        <w:spacing w:line="480" w:lineRule="auto"/>
        <w:contextualSpacing/>
        <w:rPr>
          <w:rFonts w:ascii="Times New Roman" w:eastAsia="Calibri" w:hAnsi="Times New Roman" w:cs="Times New Roman"/>
          <w:b/>
          <w:sz w:val="24"/>
          <w:szCs w:val="24"/>
        </w:rPr>
      </w:pPr>
    </w:p>
    <w:p w:rsidR="00AF2515" w:rsidRPr="00416A0F" w:rsidRDefault="00AF2515" w:rsidP="00AF2515">
      <w:pPr>
        <w:spacing w:line="480" w:lineRule="auto"/>
        <w:contextualSpacing/>
        <w:rPr>
          <w:rFonts w:ascii="Times New Roman" w:eastAsia="Calibri" w:hAnsi="Times New Roman" w:cs="Times New Roman"/>
          <w:b/>
          <w:sz w:val="24"/>
          <w:szCs w:val="24"/>
        </w:rPr>
      </w:pPr>
      <w:r w:rsidRPr="00416A0F">
        <w:rPr>
          <w:rFonts w:ascii="Times New Roman" w:eastAsia="Calibri" w:hAnsi="Times New Roman" w:cs="Times New Roman"/>
          <w:b/>
          <w:sz w:val="24"/>
          <w:szCs w:val="24"/>
        </w:rPr>
        <w:lastRenderedPageBreak/>
        <w:t>American Academy of Periodontology</w:t>
      </w:r>
    </w:p>
    <w:p w:rsidR="00AF2515" w:rsidRPr="00416A0F" w:rsidRDefault="00AF2515" w:rsidP="00AF2515">
      <w:pPr>
        <w:spacing w:line="480" w:lineRule="auto"/>
        <w:ind w:firstLine="360"/>
        <w:contextualSpacing/>
        <w:rPr>
          <w:rFonts w:ascii="Times New Roman" w:eastAsia="Calibri" w:hAnsi="Times New Roman" w:cs="Times New Roman"/>
          <w:sz w:val="24"/>
          <w:szCs w:val="24"/>
        </w:rPr>
      </w:pPr>
      <w:r w:rsidRPr="00416A0F">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AAP maintains the importance of performing a yearly comprehensive periodontal assessment.</w:t>
      </w:r>
      <w:r w:rsidR="00E8492B">
        <w:rPr>
          <w:rFonts w:ascii="Times New Roman" w:eastAsia="Calibri" w:hAnsi="Times New Roman" w:cs="Times New Roman"/>
          <w:sz w:val="24"/>
          <w:szCs w:val="24"/>
          <w:vertAlign w:val="superscript"/>
        </w:rPr>
        <w:t>1</w:t>
      </w:r>
      <w:proofErr w:type="gramStart"/>
      <w:r w:rsidR="00E8492B">
        <w:rPr>
          <w:rFonts w:ascii="Times New Roman" w:eastAsia="Calibri" w:hAnsi="Times New Roman" w:cs="Times New Roman"/>
          <w:sz w:val="24"/>
          <w:szCs w:val="24"/>
          <w:vertAlign w:val="superscript"/>
        </w:rPr>
        <w:t>,3</w:t>
      </w:r>
      <w:proofErr w:type="gramEnd"/>
      <w:r w:rsidR="00E8492B">
        <w:rPr>
          <w:rFonts w:ascii="Times New Roman" w:eastAsia="Calibri" w:hAnsi="Times New Roman" w:cs="Times New Roman"/>
          <w:sz w:val="24"/>
          <w:szCs w:val="24"/>
          <w:vertAlign w:val="superscript"/>
        </w:rPr>
        <w:t xml:space="preserve"> </w:t>
      </w:r>
      <w:r w:rsidR="00E8492B">
        <w:rPr>
          <w:rFonts w:ascii="Times New Roman" w:eastAsia="Calibri" w:hAnsi="Times New Roman" w:cs="Times New Roman"/>
          <w:sz w:val="24"/>
          <w:szCs w:val="24"/>
        </w:rPr>
        <w:t xml:space="preserve"> </w:t>
      </w:r>
      <w:r>
        <w:rPr>
          <w:rFonts w:ascii="Times New Roman" w:eastAsia="Calibri" w:hAnsi="Times New Roman" w:cs="Times New Roman"/>
          <w:sz w:val="24"/>
          <w:szCs w:val="24"/>
        </w:rPr>
        <w:t>Clem</w:t>
      </w:r>
      <w:r>
        <w:rPr>
          <w:rFonts w:ascii="Times New Roman" w:eastAsia="Calibri" w:hAnsi="Times New Roman" w:cs="Times New Roman"/>
          <w:color w:val="FF0000"/>
          <w:sz w:val="24"/>
          <w:szCs w:val="24"/>
        </w:rPr>
        <w:t xml:space="preserve"> </w:t>
      </w:r>
      <w:r w:rsidRPr="00831001">
        <w:rPr>
          <w:rFonts w:ascii="Times New Roman" w:eastAsia="Calibri" w:hAnsi="Times New Roman" w:cs="Times New Roman"/>
          <w:sz w:val="24"/>
          <w:szCs w:val="24"/>
        </w:rPr>
        <w:t>states</w:t>
      </w:r>
      <w:r>
        <w:rPr>
          <w:rFonts w:ascii="Times New Roman" w:eastAsia="Calibri" w:hAnsi="Times New Roman" w:cs="Times New Roman"/>
          <w:sz w:val="24"/>
          <w:szCs w:val="24"/>
        </w:rPr>
        <w:t xml:space="preserve"> this </w:t>
      </w:r>
      <w:r w:rsidRPr="00416A0F">
        <w:rPr>
          <w:rFonts w:ascii="Times New Roman" w:eastAsia="Calibri" w:hAnsi="Times New Roman" w:cs="Times New Roman"/>
          <w:sz w:val="24"/>
          <w:szCs w:val="24"/>
        </w:rPr>
        <w:t>yearly comprehensive periodontal evaluation shoul</w:t>
      </w:r>
      <w:r>
        <w:rPr>
          <w:rFonts w:ascii="Times New Roman" w:eastAsia="Calibri" w:hAnsi="Times New Roman" w:cs="Times New Roman"/>
          <w:sz w:val="24"/>
          <w:szCs w:val="24"/>
        </w:rPr>
        <w:t>d be performed on every patient and</w:t>
      </w:r>
      <w:r w:rsidRPr="00C60BBF">
        <w:rPr>
          <w:rFonts w:ascii="Times New Roman" w:eastAsia="Calibri" w:hAnsi="Times New Roman" w:cs="Times New Roman"/>
          <w:color w:val="FF0000"/>
          <w:sz w:val="24"/>
          <w:szCs w:val="24"/>
        </w:rPr>
        <w:t xml:space="preserve"> </w:t>
      </w:r>
      <w:r w:rsidR="00F875FE">
        <w:rPr>
          <w:rFonts w:ascii="Times New Roman" w:eastAsia="Calibri" w:hAnsi="Times New Roman" w:cs="Times New Roman"/>
          <w:sz w:val="24"/>
          <w:szCs w:val="24"/>
        </w:rPr>
        <w:t>include</w:t>
      </w:r>
      <w:r>
        <w:rPr>
          <w:rFonts w:ascii="Times New Roman" w:eastAsia="Calibri" w:hAnsi="Times New Roman" w:cs="Times New Roman"/>
          <w:sz w:val="24"/>
          <w:szCs w:val="24"/>
        </w:rPr>
        <w:t xml:space="preserve"> the following:</w:t>
      </w:r>
    </w:p>
    <w:p w:rsidR="00AF2515" w:rsidRPr="00416A0F" w:rsidRDefault="00AF2515" w:rsidP="00AF2515">
      <w:pPr>
        <w:numPr>
          <w:ilvl w:val="0"/>
          <w:numId w:val="1"/>
        </w:numPr>
        <w:spacing w:after="0" w:line="480" w:lineRule="auto"/>
        <w:contextualSpacing/>
        <w:rPr>
          <w:rFonts w:ascii="Times New Roman" w:eastAsia="Calibri" w:hAnsi="Times New Roman" w:cs="Times New Roman"/>
          <w:sz w:val="24"/>
          <w:szCs w:val="24"/>
        </w:rPr>
      </w:pPr>
      <w:r w:rsidRPr="00416A0F">
        <w:rPr>
          <w:rFonts w:ascii="Times New Roman" w:eastAsia="Calibri" w:hAnsi="Times New Roman" w:cs="Times New Roman"/>
          <w:sz w:val="24"/>
          <w:szCs w:val="24"/>
        </w:rPr>
        <w:t>“</w:t>
      </w:r>
      <w:proofErr w:type="spellStart"/>
      <w:r w:rsidRPr="00416A0F">
        <w:rPr>
          <w:rFonts w:ascii="Times New Roman" w:eastAsia="Calibri" w:hAnsi="Times New Roman" w:cs="Times New Roman"/>
          <w:sz w:val="24"/>
          <w:szCs w:val="24"/>
        </w:rPr>
        <w:t>extraoral</w:t>
      </w:r>
      <w:proofErr w:type="spellEnd"/>
      <w:r w:rsidRPr="00416A0F">
        <w:rPr>
          <w:rFonts w:ascii="Times New Roman" w:eastAsia="Calibri" w:hAnsi="Times New Roman" w:cs="Times New Roman"/>
          <w:sz w:val="24"/>
          <w:szCs w:val="24"/>
        </w:rPr>
        <w:t xml:space="preserve"> and intraoral evaluation</w:t>
      </w:r>
    </w:p>
    <w:p w:rsidR="00AF2515" w:rsidRPr="00416A0F" w:rsidRDefault="00AF2515" w:rsidP="00AF2515">
      <w:pPr>
        <w:numPr>
          <w:ilvl w:val="0"/>
          <w:numId w:val="1"/>
        </w:numPr>
        <w:spacing w:after="0" w:line="480" w:lineRule="auto"/>
        <w:contextualSpacing/>
        <w:rPr>
          <w:rFonts w:ascii="Times New Roman" w:eastAsia="Calibri" w:hAnsi="Times New Roman" w:cs="Times New Roman"/>
          <w:sz w:val="24"/>
          <w:szCs w:val="24"/>
        </w:rPr>
      </w:pPr>
      <w:r w:rsidRPr="00416A0F">
        <w:rPr>
          <w:rFonts w:ascii="Times New Roman" w:eastAsia="Calibri" w:hAnsi="Times New Roman" w:cs="Times New Roman"/>
          <w:sz w:val="24"/>
          <w:szCs w:val="24"/>
        </w:rPr>
        <w:t xml:space="preserve">thorough </w:t>
      </w:r>
      <w:proofErr w:type="spellStart"/>
      <w:r w:rsidRPr="00416A0F">
        <w:rPr>
          <w:rFonts w:ascii="Times New Roman" w:eastAsia="Calibri" w:hAnsi="Times New Roman" w:cs="Times New Roman"/>
          <w:sz w:val="24"/>
          <w:szCs w:val="24"/>
        </w:rPr>
        <w:t>occlusal</w:t>
      </w:r>
      <w:proofErr w:type="spellEnd"/>
      <w:r w:rsidRPr="00416A0F">
        <w:rPr>
          <w:rFonts w:ascii="Times New Roman" w:eastAsia="Calibri" w:hAnsi="Times New Roman" w:cs="Times New Roman"/>
          <w:sz w:val="24"/>
          <w:szCs w:val="24"/>
        </w:rPr>
        <w:t xml:space="preserve"> evaluation</w:t>
      </w:r>
    </w:p>
    <w:p w:rsidR="00AF2515" w:rsidRPr="00416A0F" w:rsidRDefault="00AF2515" w:rsidP="00AF2515">
      <w:pPr>
        <w:numPr>
          <w:ilvl w:val="0"/>
          <w:numId w:val="1"/>
        </w:numPr>
        <w:spacing w:after="0" w:line="480" w:lineRule="auto"/>
        <w:contextualSpacing/>
        <w:rPr>
          <w:rFonts w:ascii="Times New Roman" w:eastAsia="Calibri" w:hAnsi="Times New Roman" w:cs="Times New Roman"/>
          <w:sz w:val="24"/>
          <w:szCs w:val="24"/>
        </w:rPr>
      </w:pPr>
      <w:r w:rsidRPr="00416A0F">
        <w:rPr>
          <w:rFonts w:ascii="Times New Roman" w:eastAsia="Calibri" w:hAnsi="Times New Roman" w:cs="Times New Roman"/>
          <w:sz w:val="24"/>
          <w:szCs w:val="24"/>
        </w:rPr>
        <w:t>assessment of the presence, degree, and distribution of plaque, calculus, and gingival inflammation</w:t>
      </w:r>
    </w:p>
    <w:p w:rsidR="00AF2515" w:rsidRPr="00416A0F" w:rsidRDefault="00AF2515" w:rsidP="00AF2515">
      <w:pPr>
        <w:numPr>
          <w:ilvl w:val="0"/>
          <w:numId w:val="1"/>
        </w:numPr>
        <w:spacing w:after="0" w:line="480" w:lineRule="auto"/>
        <w:contextualSpacing/>
        <w:rPr>
          <w:rFonts w:ascii="Times New Roman" w:eastAsia="Calibri" w:hAnsi="Times New Roman" w:cs="Times New Roman"/>
          <w:sz w:val="24"/>
          <w:szCs w:val="24"/>
        </w:rPr>
      </w:pPr>
      <w:r w:rsidRPr="00416A0F">
        <w:rPr>
          <w:rFonts w:ascii="Times New Roman" w:eastAsia="Calibri" w:hAnsi="Times New Roman" w:cs="Times New Roman"/>
          <w:sz w:val="24"/>
          <w:szCs w:val="24"/>
        </w:rPr>
        <w:t>probing of six sites per tooth</w:t>
      </w:r>
    </w:p>
    <w:p w:rsidR="00AF2515" w:rsidRPr="00416A0F" w:rsidRDefault="00AF2515" w:rsidP="00AF2515">
      <w:pPr>
        <w:numPr>
          <w:ilvl w:val="0"/>
          <w:numId w:val="1"/>
        </w:numPr>
        <w:spacing w:after="0" w:line="480" w:lineRule="auto"/>
        <w:contextualSpacing/>
        <w:rPr>
          <w:rFonts w:ascii="Times New Roman" w:eastAsia="Calibri" w:hAnsi="Times New Roman" w:cs="Times New Roman"/>
          <w:sz w:val="24"/>
          <w:szCs w:val="24"/>
        </w:rPr>
      </w:pPr>
      <w:r w:rsidRPr="00416A0F">
        <w:rPr>
          <w:rFonts w:ascii="Times New Roman" w:eastAsia="Calibri" w:hAnsi="Times New Roman" w:cs="Times New Roman"/>
          <w:sz w:val="24"/>
          <w:szCs w:val="24"/>
        </w:rPr>
        <w:t>assessment and documentation of recession and attachment loss around teeth</w:t>
      </w:r>
    </w:p>
    <w:p w:rsidR="00AF2515" w:rsidRPr="00416A0F" w:rsidRDefault="00AF2515" w:rsidP="00AF2515">
      <w:pPr>
        <w:numPr>
          <w:ilvl w:val="0"/>
          <w:numId w:val="1"/>
        </w:numPr>
        <w:spacing w:after="0" w:line="480" w:lineRule="auto"/>
        <w:contextualSpacing/>
        <w:rPr>
          <w:rFonts w:ascii="Times New Roman" w:eastAsia="Calibri" w:hAnsi="Times New Roman" w:cs="Times New Roman"/>
          <w:sz w:val="24"/>
          <w:szCs w:val="24"/>
        </w:rPr>
      </w:pPr>
      <w:r w:rsidRPr="00416A0F">
        <w:rPr>
          <w:rFonts w:ascii="Times New Roman" w:eastAsia="Calibri" w:hAnsi="Times New Roman" w:cs="Times New Roman"/>
          <w:sz w:val="24"/>
          <w:szCs w:val="24"/>
        </w:rPr>
        <w:t>radiographic evaluation of bone loss and identification of vertical defects and furcation involvements</w:t>
      </w:r>
    </w:p>
    <w:p w:rsidR="00AF2515" w:rsidRPr="00C60BBF" w:rsidRDefault="00AF2515" w:rsidP="00AF2515">
      <w:pPr>
        <w:numPr>
          <w:ilvl w:val="0"/>
          <w:numId w:val="1"/>
        </w:numPr>
        <w:spacing w:after="0" w:line="480" w:lineRule="auto"/>
        <w:contextualSpacing/>
        <w:rPr>
          <w:rFonts w:ascii="Times New Roman" w:eastAsia="Calibri" w:hAnsi="Times New Roman" w:cs="Times New Roman"/>
          <w:sz w:val="24"/>
          <w:szCs w:val="24"/>
        </w:rPr>
      </w:pPr>
      <w:r w:rsidRPr="00416A0F">
        <w:rPr>
          <w:rFonts w:ascii="Times New Roman" w:eastAsia="Calibri" w:hAnsi="Times New Roman" w:cs="Times New Roman"/>
          <w:sz w:val="24"/>
          <w:szCs w:val="24"/>
        </w:rPr>
        <w:t>assessment of patient-associated risk factors such as age, smoking, and other chronic systemic conditions associated with development or progression of periodontal diseases or systemic i</w:t>
      </w:r>
      <w:r>
        <w:rPr>
          <w:rFonts w:ascii="Times New Roman" w:eastAsia="Calibri" w:hAnsi="Times New Roman" w:cs="Times New Roman"/>
          <w:sz w:val="24"/>
          <w:szCs w:val="24"/>
        </w:rPr>
        <w:t>nflammatory burden”</w:t>
      </w:r>
      <w:r w:rsidRPr="00416A0F">
        <w:rPr>
          <w:rFonts w:ascii="Times New Roman" w:eastAsia="Calibri" w:hAnsi="Times New Roman" w:cs="Times New Roman"/>
          <w:sz w:val="24"/>
          <w:szCs w:val="24"/>
        </w:rPr>
        <w:t>.</w:t>
      </w:r>
      <w:r>
        <w:rPr>
          <w:rFonts w:ascii="Times New Roman" w:eastAsia="Calibri" w:hAnsi="Times New Roman" w:cs="Times New Roman"/>
          <w:sz w:val="24"/>
          <w:szCs w:val="24"/>
          <w:vertAlign w:val="superscript"/>
        </w:rPr>
        <w:t xml:space="preserve">1 </w:t>
      </w:r>
    </w:p>
    <w:p w:rsidR="00AF2515" w:rsidRPr="00831001" w:rsidRDefault="00AF2515" w:rsidP="00AF2515">
      <w:pPr>
        <w:spacing w:after="0" w:line="480" w:lineRule="auto"/>
        <w:contextualSpacing/>
        <w:rPr>
          <w:rFonts w:ascii="Times New Roman" w:eastAsia="Calibri" w:hAnsi="Times New Roman" w:cs="Times New Roman"/>
          <w:sz w:val="24"/>
          <w:szCs w:val="24"/>
        </w:rPr>
      </w:pPr>
      <w:r w:rsidRPr="00831001">
        <w:rPr>
          <w:rFonts w:ascii="Times New Roman" w:eastAsia="Calibri" w:hAnsi="Times New Roman" w:cs="Times New Roman"/>
          <w:sz w:val="24"/>
          <w:szCs w:val="24"/>
        </w:rPr>
        <w:t>This comprehensive periodontal evaluation provides the necessary diagnostic tools to thoroughly evaluate the periodontal status of adult patients so proper treatment can be determined and implemented.</w:t>
      </w:r>
      <w:r w:rsidR="00777388">
        <w:rPr>
          <w:rFonts w:ascii="Times New Roman" w:eastAsia="Calibri" w:hAnsi="Times New Roman" w:cs="Times New Roman"/>
          <w:sz w:val="24"/>
          <w:szCs w:val="24"/>
        </w:rPr>
        <w:t xml:space="preserve">  As part of the AAPs recommendations for the comprehensive periodontal assessment, it was necessary to also review literature regarding the use of radiographs</w:t>
      </w:r>
      <w:r w:rsidR="002028E3">
        <w:rPr>
          <w:rFonts w:ascii="Times New Roman" w:eastAsia="Calibri" w:hAnsi="Times New Roman" w:cs="Times New Roman"/>
          <w:sz w:val="24"/>
          <w:szCs w:val="24"/>
        </w:rPr>
        <w:t xml:space="preserve"> among general dentists. </w:t>
      </w:r>
    </w:p>
    <w:p w:rsidR="00416A0F" w:rsidRPr="00416A0F" w:rsidRDefault="00416A0F" w:rsidP="00FC7E46">
      <w:pPr>
        <w:spacing w:line="480" w:lineRule="auto"/>
        <w:contextualSpacing/>
        <w:rPr>
          <w:rFonts w:ascii="Times New Roman" w:eastAsia="Calibri" w:hAnsi="Times New Roman" w:cs="Times New Roman"/>
          <w:b/>
          <w:sz w:val="24"/>
          <w:szCs w:val="24"/>
        </w:rPr>
      </w:pPr>
      <w:r w:rsidRPr="00416A0F">
        <w:rPr>
          <w:rFonts w:ascii="Times New Roman" w:eastAsia="Calibri" w:hAnsi="Times New Roman" w:cs="Times New Roman"/>
          <w:b/>
          <w:sz w:val="24"/>
          <w:szCs w:val="24"/>
        </w:rPr>
        <w:t>Radiographs in Periodontal Assessment</w:t>
      </w:r>
    </w:p>
    <w:p w:rsidR="00416A0F" w:rsidRPr="0038034F" w:rsidRDefault="00416A0F" w:rsidP="00FC7E46">
      <w:pPr>
        <w:spacing w:line="480" w:lineRule="auto"/>
        <w:ind w:firstLine="720"/>
        <w:contextualSpacing/>
        <w:rPr>
          <w:rFonts w:ascii="Times New Roman" w:eastAsia="Calibri" w:hAnsi="Times New Roman" w:cs="Times New Roman"/>
          <w:strike/>
          <w:sz w:val="24"/>
          <w:szCs w:val="24"/>
          <w:vertAlign w:val="superscript"/>
        </w:rPr>
      </w:pPr>
      <w:r w:rsidRPr="0038034F">
        <w:rPr>
          <w:rFonts w:ascii="Times New Roman" w:eastAsia="Calibri" w:hAnsi="Times New Roman" w:cs="Times New Roman"/>
          <w:sz w:val="24"/>
          <w:szCs w:val="24"/>
        </w:rPr>
        <w:t>Among the literature reviewed</w:t>
      </w:r>
      <w:r w:rsidR="00EF6D21" w:rsidRPr="0038034F">
        <w:rPr>
          <w:rFonts w:ascii="Times New Roman" w:eastAsia="Calibri" w:hAnsi="Times New Roman" w:cs="Times New Roman"/>
          <w:sz w:val="24"/>
          <w:szCs w:val="24"/>
        </w:rPr>
        <w:t>,</w:t>
      </w:r>
      <w:r w:rsidRPr="0038034F">
        <w:rPr>
          <w:rFonts w:ascii="Times New Roman" w:eastAsia="Calibri" w:hAnsi="Times New Roman" w:cs="Times New Roman"/>
          <w:sz w:val="24"/>
          <w:szCs w:val="24"/>
        </w:rPr>
        <w:t xml:space="preserve"> researchers reported </w:t>
      </w:r>
      <w:r w:rsidR="00EF6D21" w:rsidRPr="0038034F">
        <w:rPr>
          <w:rFonts w:ascii="Times New Roman" w:eastAsia="Calibri" w:hAnsi="Times New Roman" w:cs="Times New Roman"/>
          <w:sz w:val="24"/>
          <w:szCs w:val="24"/>
        </w:rPr>
        <w:t xml:space="preserve">a </w:t>
      </w:r>
      <w:r w:rsidRPr="0038034F">
        <w:rPr>
          <w:rFonts w:ascii="Times New Roman" w:eastAsia="Calibri" w:hAnsi="Times New Roman" w:cs="Times New Roman"/>
          <w:sz w:val="24"/>
          <w:szCs w:val="24"/>
        </w:rPr>
        <w:t xml:space="preserve">high percentage of </w:t>
      </w:r>
      <w:proofErr w:type="gramStart"/>
      <w:r w:rsidRPr="0038034F">
        <w:rPr>
          <w:rFonts w:ascii="Times New Roman" w:eastAsia="Calibri" w:hAnsi="Times New Roman" w:cs="Times New Roman"/>
          <w:sz w:val="24"/>
          <w:szCs w:val="24"/>
        </w:rPr>
        <w:t xml:space="preserve">dentists  </w:t>
      </w:r>
      <w:r w:rsidR="0020769B" w:rsidRPr="0038034F">
        <w:rPr>
          <w:rFonts w:ascii="Times New Roman" w:eastAsia="Calibri" w:hAnsi="Times New Roman" w:cs="Times New Roman"/>
          <w:sz w:val="24"/>
          <w:szCs w:val="24"/>
        </w:rPr>
        <w:t>utilizing</w:t>
      </w:r>
      <w:proofErr w:type="gramEnd"/>
      <w:r w:rsidR="0020769B" w:rsidRPr="0038034F">
        <w:rPr>
          <w:rFonts w:ascii="Times New Roman" w:eastAsia="Calibri" w:hAnsi="Times New Roman" w:cs="Times New Roman"/>
          <w:sz w:val="24"/>
          <w:szCs w:val="24"/>
        </w:rPr>
        <w:t xml:space="preserve"> </w:t>
      </w:r>
      <w:r w:rsidRPr="0038034F">
        <w:rPr>
          <w:rFonts w:ascii="Times New Roman" w:eastAsia="Calibri" w:hAnsi="Times New Roman" w:cs="Times New Roman"/>
          <w:sz w:val="24"/>
          <w:szCs w:val="24"/>
        </w:rPr>
        <w:t>radiographs as part of their periodontal assessment.</w:t>
      </w:r>
      <w:r w:rsidR="00051CA9">
        <w:rPr>
          <w:rFonts w:ascii="Times New Roman" w:eastAsia="Calibri" w:hAnsi="Times New Roman" w:cs="Times New Roman"/>
          <w:sz w:val="24"/>
          <w:szCs w:val="24"/>
        </w:rPr>
        <w:t xml:space="preserve"> </w:t>
      </w:r>
      <w:r w:rsidRPr="0038034F">
        <w:rPr>
          <w:rFonts w:ascii="Times New Roman" w:eastAsia="Calibri" w:hAnsi="Times New Roman" w:cs="Times New Roman"/>
          <w:sz w:val="24"/>
          <w:szCs w:val="24"/>
        </w:rPr>
        <w:t xml:space="preserve"> In a study conducted by </w:t>
      </w:r>
      <w:proofErr w:type="spellStart"/>
      <w:r w:rsidRPr="0038034F">
        <w:rPr>
          <w:rFonts w:ascii="Times New Roman" w:eastAsia="Calibri" w:hAnsi="Times New Roman" w:cs="Times New Roman"/>
          <w:sz w:val="24"/>
          <w:szCs w:val="24"/>
        </w:rPr>
        <w:t>Tugnait</w:t>
      </w:r>
      <w:proofErr w:type="spellEnd"/>
      <w:r w:rsidRPr="0038034F">
        <w:rPr>
          <w:rFonts w:ascii="Times New Roman" w:eastAsia="Calibri" w:hAnsi="Times New Roman" w:cs="Times New Roman"/>
          <w:sz w:val="24"/>
          <w:szCs w:val="24"/>
        </w:rPr>
        <w:t xml:space="preserve">, </w:t>
      </w:r>
      <w:proofErr w:type="spellStart"/>
      <w:r w:rsidRPr="0038034F">
        <w:rPr>
          <w:rFonts w:ascii="Times New Roman" w:eastAsia="Calibri" w:hAnsi="Times New Roman" w:cs="Times New Roman"/>
          <w:sz w:val="24"/>
          <w:szCs w:val="24"/>
        </w:rPr>
        <w:lastRenderedPageBreak/>
        <w:t>Clerehuh</w:t>
      </w:r>
      <w:proofErr w:type="spellEnd"/>
      <w:r w:rsidRPr="0038034F">
        <w:rPr>
          <w:rFonts w:ascii="Times New Roman" w:eastAsia="Calibri" w:hAnsi="Times New Roman" w:cs="Times New Roman"/>
          <w:sz w:val="24"/>
          <w:szCs w:val="24"/>
        </w:rPr>
        <w:t xml:space="preserve">, &amp; </w:t>
      </w:r>
      <w:proofErr w:type="spellStart"/>
      <w:r w:rsidRPr="0038034F">
        <w:rPr>
          <w:rFonts w:ascii="Times New Roman" w:eastAsia="Calibri" w:hAnsi="Times New Roman" w:cs="Times New Roman"/>
          <w:sz w:val="24"/>
          <w:szCs w:val="24"/>
        </w:rPr>
        <w:t>Hirschmann</w:t>
      </w:r>
      <w:proofErr w:type="spellEnd"/>
      <w:r w:rsidRPr="0038034F">
        <w:rPr>
          <w:rFonts w:ascii="Times New Roman" w:eastAsia="Calibri" w:hAnsi="Times New Roman" w:cs="Times New Roman"/>
          <w:sz w:val="24"/>
          <w:szCs w:val="24"/>
        </w:rPr>
        <w:t>, there was no consensus among dentists surveyed regarding the choice of rad</w:t>
      </w:r>
      <w:r w:rsidR="002B7573" w:rsidRPr="0038034F">
        <w:rPr>
          <w:rFonts w:ascii="Times New Roman" w:eastAsia="Calibri" w:hAnsi="Times New Roman" w:cs="Times New Roman"/>
          <w:sz w:val="24"/>
          <w:szCs w:val="24"/>
        </w:rPr>
        <w:t>iographic views</w:t>
      </w:r>
      <w:r w:rsidRPr="0038034F">
        <w:rPr>
          <w:rFonts w:ascii="Times New Roman" w:eastAsia="Calibri" w:hAnsi="Times New Roman" w:cs="Times New Roman"/>
          <w:sz w:val="24"/>
          <w:szCs w:val="24"/>
        </w:rPr>
        <w:t xml:space="preserve"> to diagnose periodontal disease.</w:t>
      </w:r>
      <w:r w:rsidR="00051CA9">
        <w:rPr>
          <w:rFonts w:ascii="Times New Roman" w:eastAsia="Calibri" w:hAnsi="Times New Roman" w:cs="Times New Roman"/>
          <w:sz w:val="24"/>
          <w:szCs w:val="24"/>
        </w:rPr>
        <w:t xml:space="preserve"> </w:t>
      </w:r>
      <w:r w:rsidRPr="0038034F">
        <w:rPr>
          <w:rFonts w:ascii="Times New Roman" w:eastAsia="Calibri" w:hAnsi="Times New Roman" w:cs="Times New Roman"/>
          <w:sz w:val="24"/>
          <w:szCs w:val="24"/>
        </w:rPr>
        <w:t xml:space="preserve"> Th</w:t>
      </w:r>
      <w:r w:rsidR="00A864B4">
        <w:rPr>
          <w:rFonts w:ascii="Times New Roman" w:eastAsia="Calibri" w:hAnsi="Times New Roman" w:cs="Times New Roman"/>
          <w:sz w:val="24"/>
          <w:szCs w:val="24"/>
        </w:rPr>
        <w:t xml:space="preserve">e majority of dentists </w:t>
      </w:r>
      <w:r w:rsidR="00730096">
        <w:rPr>
          <w:rFonts w:ascii="Times New Roman" w:eastAsia="Calibri" w:hAnsi="Times New Roman" w:cs="Times New Roman"/>
          <w:sz w:val="24"/>
          <w:szCs w:val="24"/>
        </w:rPr>
        <w:t xml:space="preserve">utilized </w:t>
      </w:r>
      <w:r w:rsidRPr="0038034F">
        <w:rPr>
          <w:rFonts w:ascii="Times New Roman" w:eastAsia="Calibri" w:hAnsi="Times New Roman" w:cs="Times New Roman"/>
          <w:sz w:val="24"/>
          <w:szCs w:val="24"/>
        </w:rPr>
        <w:t xml:space="preserve">some type of </w:t>
      </w:r>
      <w:r w:rsidR="002B7573" w:rsidRPr="0038034F">
        <w:rPr>
          <w:rFonts w:ascii="Times New Roman" w:eastAsia="Calibri" w:hAnsi="Times New Roman" w:cs="Times New Roman"/>
          <w:sz w:val="24"/>
          <w:szCs w:val="24"/>
        </w:rPr>
        <w:t>radiographs in conjunction with</w:t>
      </w:r>
      <w:r w:rsidRPr="0038034F">
        <w:rPr>
          <w:rFonts w:ascii="Times New Roman" w:eastAsia="Calibri" w:hAnsi="Times New Roman" w:cs="Times New Roman"/>
          <w:sz w:val="24"/>
          <w:szCs w:val="24"/>
        </w:rPr>
        <w:t xml:space="preserve"> </w:t>
      </w:r>
      <w:r w:rsidR="0020769B" w:rsidRPr="0038034F">
        <w:rPr>
          <w:rFonts w:ascii="Times New Roman" w:eastAsia="Calibri" w:hAnsi="Times New Roman" w:cs="Times New Roman"/>
          <w:sz w:val="24"/>
          <w:szCs w:val="24"/>
        </w:rPr>
        <w:t xml:space="preserve">a </w:t>
      </w:r>
      <w:r w:rsidR="00E22321" w:rsidRPr="0038034F">
        <w:rPr>
          <w:rFonts w:ascii="Times New Roman" w:eastAsia="Calibri" w:hAnsi="Times New Roman" w:cs="Times New Roman"/>
          <w:sz w:val="24"/>
          <w:szCs w:val="24"/>
        </w:rPr>
        <w:t xml:space="preserve">basic periodontal </w:t>
      </w:r>
      <w:proofErr w:type="gramStart"/>
      <w:r w:rsidR="00E22321" w:rsidRPr="0038034F">
        <w:rPr>
          <w:rFonts w:ascii="Times New Roman" w:eastAsia="Calibri" w:hAnsi="Times New Roman" w:cs="Times New Roman"/>
          <w:sz w:val="24"/>
          <w:szCs w:val="24"/>
        </w:rPr>
        <w:t>evaluation</w:t>
      </w:r>
      <w:r w:rsidRPr="0038034F">
        <w:rPr>
          <w:rFonts w:ascii="Times New Roman" w:eastAsia="Calibri" w:hAnsi="Times New Roman" w:cs="Times New Roman"/>
          <w:sz w:val="24"/>
          <w:szCs w:val="24"/>
        </w:rPr>
        <w:t>.</w:t>
      </w:r>
      <w:r w:rsidR="00F51705">
        <w:rPr>
          <w:rFonts w:ascii="Times New Roman" w:eastAsia="Calibri" w:hAnsi="Times New Roman" w:cs="Times New Roman"/>
          <w:sz w:val="24"/>
          <w:szCs w:val="24"/>
          <w:vertAlign w:val="superscript"/>
        </w:rPr>
        <w:t>10</w:t>
      </w:r>
      <w:r w:rsidRPr="0038034F">
        <w:rPr>
          <w:rFonts w:ascii="Times New Roman" w:eastAsia="Calibri" w:hAnsi="Times New Roman" w:cs="Times New Roman"/>
          <w:sz w:val="24"/>
          <w:szCs w:val="24"/>
        </w:rPr>
        <w:t xml:space="preserve"> </w:t>
      </w:r>
      <w:r w:rsidR="00051CA9">
        <w:rPr>
          <w:rFonts w:ascii="Times New Roman" w:eastAsia="Calibri" w:hAnsi="Times New Roman" w:cs="Times New Roman"/>
          <w:sz w:val="24"/>
          <w:szCs w:val="24"/>
        </w:rPr>
        <w:t xml:space="preserve"> </w:t>
      </w:r>
      <w:r w:rsidR="00A864B4">
        <w:rPr>
          <w:rFonts w:ascii="Times New Roman" w:eastAsia="Calibri" w:hAnsi="Times New Roman" w:cs="Times New Roman"/>
          <w:sz w:val="24"/>
          <w:szCs w:val="24"/>
        </w:rPr>
        <w:t>There</w:t>
      </w:r>
      <w:proofErr w:type="gramEnd"/>
      <w:r w:rsidR="00A864B4">
        <w:rPr>
          <w:rFonts w:ascii="Times New Roman" w:eastAsia="Calibri" w:hAnsi="Times New Roman" w:cs="Times New Roman"/>
          <w:sz w:val="24"/>
          <w:szCs w:val="24"/>
        </w:rPr>
        <w:t xml:space="preserve"> has been support regarding the importance of using radiographs for periodontal assessment</w:t>
      </w:r>
      <w:r w:rsidR="0020769B" w:rsidRPr="0038034F">
        <w:rPr>
          <w:rFonts w:ascii="Times New Roman" w:eastAsia="Calibri" w:hAnsi="Times New Roman" w:cs="Times New Roman"/>
          <w:sz w:val="24"/>
          <w:szCs w:val="24"/>
        </w:rPr>
        <w:t>.</w:t>
      </w:r>
      <w:r w:rsidR="00F51705">
        <w:rPr>
          <w:rFonts w:ascii="Times New Roman" w:eastAsia="Calibri" w:hAnsi="Times New Roman" w:cs="Times New Roman"/>
          <w:sz w:val="24"/>
          <w:szCs w:val="24"/>
          <w:vertAlign w:val="superscript"/>
        </w:rPr>
        <w:t>10,11,12</w:t>
      </w:r>
      <w:r w:rsidR="00E8492B">
        <w:rPr>
          <w:rFonts w:ascii="Times New Roman" w:eastAsia="Calibri" w:hAnsi="Times New Roman" w:cs="Times New Roman"/>
          <w:sz w:val="24"/>
          <w:szCs w:val="24"/>
          <w:vertAlign w:val="superscript"/>
        </w:rPr>
        <w:t xml:space="preserve"> </w:t>
      </w:r>
      <w:r w:rsidR="00E8492B">
        <w:rPr>
          <w:rFonts w:ascii="Times New Roman" w:eastAsia="Calibri" w:hAnsi="Times New Roman" w:cs="Times New Roman"/>
          <w:sz w:val="24"/>
          <w:szCs w:val="24"/>
        </w:rPr>
        <w:t xml:space="preserve"> </w:t>
      </w:r>
      <w:r w:rsidR="0020769B" w:rsidRPr="0038034F">
        <w:rPr>
          <w:rFonts w:ascii="Times New Roman" w:eastAsia="Calibri" w:hAnsi="Times New Roman" w:cs="Times New Roman"/>
          <w:sz w:val="24"/>
          <w:szCs w:val="24"/>
        </w:rPr>
        <w:t>H</w:t>
      </w:r>
      <w:r w:rsidRPr="0038034F">
        <w:rPr>
          <w:rFonts w:ascii="Times New Roman" w:eastAsia="Calibri" w:hAnsi="Times New Roman" w:cs="Times New Roman"/>
          <w:sz w:val="24"/>
          <w:szCs w:val="24"/>
        </w:rPr>
        <w:t xml:space="preserve">owever, </w:t>
      </w:r>
      <w:r w:rsidR="0020769B" w:rsidRPr="0038034F">
        <w:rPr>
          <w:rFonts w:ascii="Times New Roman" w:eastAsia="Calibri" w:hAnsi="Times New Roman" w:cs="Times New Roman"/>
          <w:sz w:val="24"/>
          <w:szCs w:val="24"/>
        </w:rPr>
        <w:t>the information gained from the radiographic or clinical examination differ</w:t>
      </w:r>
      <w:r w:rsidR="005934FB">
        <w:rPr>
          <w:rFonts w:ascii="Times New Roman" w:eastAsia="Calibri" w:hAnsi="Times New Roman" w:cs="Times New Roman"/>
          <w:sz w:val="24"/>
          <w:szCs w:val="24"/>
        </w:rPr>
        <w:t>s</w:t>
      </w:r>
      <w:r w:rsidR="0020769B" w:rsidRPr="0038034F">
        <w:rPr>
          <w:rFonts w:ascii="Times New Roman" w:eastAsia="Calibri" w:hAnsi="Times New Roman" w:cs="Times New Roman"/>
          <w:sz w:val="24"/>
          <w:szCs w:val="24"/>
        </w:rPr>
        <w:t xml:space="preserve"> significantly</w:t>
      </w:r>
      <w:r w:rsidR="0038034F" w:rsidRPr="0038034F">
        <w:rPr>
          <w:rFonts w:ascii="Times New Roman" w:eastAsia="Calibri" w:hAnsi="Times New Roman" w:cs="Times New Roman"/>
          <w:sz w:val="24"/>
          <w:szCs w:val="24"/>
        </w:rPr>
        <w:t xml:space="preserve"> and cannot replace one another.</w:t>
      </w:r>
      <w:r w:rsidR="00F51705">
        <w:rPr>
          <w:rFonts w:ascii="Times New Roman" w:eastAsia="Calibri" w:hAnsi="Times New Roman" w:cs="Times New Roman"/>
          <w:sz w:val="24"/>
          <w:szCs w:val="24"/>
          <w:vertAlign w:val="superscript"/>
        </w:rPr>
        <w:t>11</w:t>
      </w:r>
    </w:p>
    <w:p w:rsidR="00416A0F" w:rsidRPr="00051CA9" w:rsidRDefault="00D550D3" w:rsidP="00FC7E46">
      <w:pPr>
        <w:spacing w:line="480" w:lineRule="auto"/>
        <w:contextualSpacing/>
        <w:rPr>
          <w:rFonts w:ascii="Times New Roman" w:eastAsia="Calibri" w:hAnsi="Times New Roman" w:cs="Times New Roman"/>
          <w:b/>
          <w:sz w:val="24"/>
          <w:szCs w:val="24"/>
        </w:rPr>
      </w:pPr>
      <w:r w:rsidRPr="00051CA9">
        <w:rPr>
          <w:rFonts w:ascii="Times New Roman" w:eastAsia="Calibri" w:hAnsi="Times New Roman" w:cs="Times New Roman"/>
          <w:b/>
          <w:sz w:val="24"/>
          <w:szCs w:val="24"/>
        </w:rPr>
        <w:t xml:space="preserve">Under diagnosis </w:t>
      </w:r>
    </w:p>
    <w:p w:rsidR="00D550D3" w:rsidRPr="00051CA9" w:rsidRDefault="00D550D3" w:rsidP="00FC7E46">
      <w:pPr>
        <w:spacing w:line="480" w:lineRule="auto"/>
        <w:ind w:firstLine="720"/>
        <w:contextualSpacing/>
        <w:rPr>
          <w:rFonts w:ascii="Times New Roman" w:hAnsi="Times New Roman" w:cs="Times New Roman"/>
          <w:sz w:val="24"/>
          <w:szCs w:val="24"/>
        </w:rPr>
      </w:pPr>
      <w:r w:rsidRPr="00051CA9">
        <w:rPr>
          <w:rFonts w:ascii="Times New Roman" w:hAnsi="Times New Roman" w:cs="Times New Roman"/>
          <w:sz w:val="24"/>
          <w:szCs w:val="24"/>
        </w:rPr>
        <w:t>Current literature regarding the surveillance of periodontal disease shows a natio</w:t>
      </w:r>
      <w:r w:rsidR="00051CA9" w:rsidRPr="00051CA9">
        <w:rPr>
          <w:rFonts w:ascii="Times New Roman" w:hAnsi="Times New Roman" w:cs="Times New Roman"/>
          <w:sz w:val="24"/>
          <w:szCs w:val="24"/>
        </w:rPr>
        <w:t xml:space="preserve">n that has been underdiagnosed.  </w:t>
      </w:r>
      <w:r w:rsidR="00F51705">
        <w:rPr>
          <w:rFonts w:ascii="Times New Roman" w:hAnsi="Times New Roman" w:cs="Times New Roman"/>
          <w:sz w:val="24"/>
          <w:szCs w:val="24"/>
        </w:rPr>
        <w:t xml:space="preserve">With nearly </w:t>
      </w:r>
      <w:r w:rsidRPr="00051CA9">
        <w:rPr>
          <w:rFonts w:ascii="Times New Roman" w:hAnsi="Times New Roman" w:cs="Times New Roman"/>
          <w:sz w:val="24"/>
          <w:szCs w:val="24"/>
        </w:rPr>
        <w:t>fifty percent of the adult</w:t>
      </w:r>
      <w:r w:rsidR="00051CA9" w:rsidRPr="00051CA9">
        <w:rPr>
          <w:rFonts w:ascii="Times New Roman" w:hAnsi="Times New Roman" w:cs="Times New Roman"/>
          <w:sz w:val="24"/>
          <w:szCs w:val="24"/>
        </w:rPr>
        <w:t xml:space="preserve"> U.S.</w:t>
      </w:r>
      <w:r w:rsidRPr="00051CA9">
        <w:rPr>
          <w:rFonts w:ascii="Times New Roman" w:hAnsi="Times New Roman" w:cs="Times New Roman"/>
          <w:sz w:val="24"/>
          <w:szCs w:val="24"/>
        </w:rPr>
        <w:t xml:space="preserve"> population affected by this disease, research regarding assessment and diagnosis is relevant, pertinent, and necessary. Unfortunately, the literature regarding periodontal disease assessment, including the specific use of pe</w:t>
      </w:r>
      <w:r w:rsidR="00F51705">
        <w:rPr>
          <w:rFonts w:ascii="Times New Roman" w:hAnsi="Times New Roman" w:cs="Times New Roman"/>
          <w:sz w:val="24"/>
          <w:szCs w:val="24"/>
        </w:rPr>
        <w:t>riodontal diagnostic procedures</w:t>
      </w:r>
      <w:r w:rsidR="002B7573" w:rsidRPr="00051CA9">
        <w:rPr>
          <w:rFonts w:ascii="Times New Roman" w:hAnsi="Times New Roman" w:cs="Times New Roman"/>
          <w:sz w:val="24"/>
          <w:szCs w:val="24"/>
        </w:rPr>
        <w:t xml:space="preserve">, </w:t>
      </w:r>
      <w:r w:rsidRPr="00051CA9">
        <w:rPr>
          <w:rFonts w:ascii="Times New Roman" w:hAnsi="Times New Roman" w:cs="Times New Roman"/>
          <w:sz w:val="24"/>
          <w:szCs w:val="24"/>
        </w:rPr>
        <w:t>radiographs, and the frequency of patient referrals to periodontists</w:t>
      </w:r>
      <w:r w:rsidR="00E8492B">
        <w:rPr>
          <w:rFonts w:ascii="Times New Roman" w:hAnsi="Times New Roman" w:cs="Times New Roman"/>
          <w:sz w:val="24"/>
          <w:szCs w:val="24"/>
        </w:rPr>
        <w:t xml:space="preserve"> for specialty care is limited.  </w:t>
      </w:r>
      <w:r w:rsidRPr="00051CA9">
        <w:rPr>
          <w:rFonts w:ascii="Times New Roman" w:hAnsi="Times New Roman" w:cs="Times New Roman"/>
          <w:sz w:val="24"/>
          <w:szCs w:val="24"/>
        </w:rPr>
        <w:t>The majority of studies discuss periodontal assessment</w:t>
      </w:r>
      <w:r w:rsidR="005934FB">
        <w:rPr>
          <w:rFonts w:ascii="Times New Roman" w:hAnsi="Times New Roman" w:cs="Times New Roman"/>
          <w:sz w:val="24"/>
          <w:szCs w:val="24"/>
        </w:rPr>
        <w:t>s</w:t>
      </w:r>
      <w:r w:rsidRPr="00051CA9">
        <w:rPr>
          <w:rFonts w:ascii="Times New Roman" w:hAnsi="Times New Roman" w:cs="Times New Roman"/>
          <w:sz w:val="24"/>
          <w:szCs w:val="24"/>
        </w:rPr>
        <w:t xml:space="preserve"> practiced in other countries </w:t>
      </w:r>
      <w:r w:rsidR="00051CA9" w:rsidRPr="00051CA9">
        <w:rPr>
          <w:rFonts w:ascii="Times New Roman" w:hAnsi="Times New Roman" w:cs="Times New Roman"/>
          <w:sz w:val="24"/>
          <w:szCs w:val="24"/>
        </w:rPr>
        <w:t xml:space="preserve">with few studies </w:t>
      </w:r>
      <w:r w:rsidRPr="00051CA9">
        <w:rPr>
          <w:rFonts w:ascii="Times New Roman" w:hAnsi="Times New Roman" w:cs="Times New Roman"/>
          <w:sz w:val="24"/>
          <w:szCs w:val="24"/>
        </w:rPr>
        <w:t>conducted in the United States.</w:t>
      </w:r>
    </w:p>
    <w:p w:rsidR="00416A0F" w:rsidRPr="002B7573" w:rsidRDefault="005934FB" w:rsidP="00FC7E46">
      <w:pPr>
        <w:spacing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A review of six</w:t>
      </w:r>
      <w:r w:rsidR="00416A0F" w:rsidRPr="00416A0F">
        <w:rPr>
          <w:rFonts w:ascii="Times New Roman" w:eastAsia="Calibri" w:hAnsi="Times New Roman" w:cs="Times New Roman"/>
          <w:sz w:val="24"/>
          <w:szCs w:val="24"/>
        </w:rPr>
        <w:t xml:space="preserve"> studies </w:t>
      </w:r>
      <w:r w:rsidR="00F51705">
        <w:rPr>
          <w:rFonts w:ascii="Times New Roman" w:eastAsia="Calibri" w:hAnsi="Times New Roman" w:cs="Times New Roman"/>
          <w:sz w:val="24"/>
          <w:szCs w:val="24"/>
        </w:rPr>
        <w:t>assessed</w:t>
      </w:r>
      <w:r w:rsidR="00D550D3" w:rsidRPr="00051CA9">
        <w:rPr>
          <w:rFonts w:ascii="Times New Roman" w:eastAsia="Calibri" w:hAnsi="Times New Roman" w:cs="Times New Roman"/>
          <w:sz w:val="24"/>
          <w:szCs w:val="24"/>
        </w:rPr>
        <w:t xml:space="preserve"> </w:t>
      </w:r>
      <w:r w:rsidR="00416A0F" w:rsidRPr="00416A0F">
        <w:rPr>
          <w:rFonts w:ascii="Times New Roman" w:eastAsia="Calibri" w:hAnsi="Times New Roman" w:cs="Times New Roman"/>
          <w:sz w:val="24"/>
          <w:szCs w:val="24"/>
        </w:rPr>
        <w:t>periodontal referral patterns, periodontal status at time of referral, and the qu</w:t>
      </w:r>
      <w:r>
        <w:rPr>
          <w:rFonts w:ascii="Times New Roman" w:eastAsia="Calibri" w:hAnsi="Times New Roman" w:cs="Times New Roman"/>
          <w:sz w:val="24"/>
          <w:szCs w:val="24"/>
        </w:rPr>
        <w:t>ality of periodontal management.</w:t>
      </w:r>
      <w:r w:rsidR="00F51705">
        <w:rPr>
          <w:rFonts w:ascii="Times New Roman" w:eastAsia="Calibri" w:hAnsi="Times New Roman" w:cs="Times New Roman"/>
          <w:sz w:val="24"/>
          <w:szCs w:val="24"/>
          <w:vertAlign w:val="superscript"/>
        </w:rPr>
        <w:t>13</w:t>
      </w:r>
      <w:r>
        <w:rPr>
          <w:rFonts w:ascii="Times New Roman" w:eastAsia="Calibri" w:hAnsi="Times New Roman" w:cs="Times New Roman"/>
          <w:sz w:val="24"/>
          <w:szCs w:val="24"/>
          <w:vertAlign w:val="superscript"/>
        </w:rPr>
        <w:t>,1</w:t>
      </w:r>
      <w:r w:rsidR="00F51705">
        <w:rPr>
          <w:rFonts w:ascii="Times New Roman" w:eastAsia="Calibri" w:hAnsi="Times New Roman" w:cs="Times New Roman"/>
          <w:sz w:val="24"/>
          <w:szCs w:val="24"/>
          <w:vertAlign w:val="superscript"/>
        </w:rPr>
        <w:t>4,15,16,17,18</w:t>
      </w:r>
      <w:r w:rsidR="00416A0F" w:rsidRPr="00416A0F">
        <w:rPr>
          <w:rFonts w:ascii="Times New Roman" w:eastAsia="Calibri" w:hAnsi="Times New Roman" w:cs="Times New Roman"/>
          <w:sz w:val="24"/>
          <w:szCs w:val="24"/>
        </w:rPr>
        <w:t xml:space="preserve"> </w:t>
      </w:r>
      <w:r w:rsidR="00051CA9">
        <w:rPr>
          <w:rFonts w:ascii="Times New Roman" w:eastAsia="Calibri" w:hAnsi="Times New Roman" w:cs="Times New Roman"/>
          <w:sz w:val="24"/>
          <w:szCs w:val="24"/>
        </w:rPr>
        <w:t xml:space="preserve"> </w:t>
      </w:r>
      <w:r w:rsidR="00051CA9" w:rsidRPr="002446D3">
        <w:rPr>
          <w:rFonts w:ascii="Times New Roman" w:eastAsia="Calibri" w:hAnsi="Times New Roman" w:cs="Times New Roman"/>
          <w:sz w:val="24"/>
          <w:szCs w:val="24"/>
        </w:rPr>
        <w:t xml:space="preserve">This literature indicated a lack of timely diagnosis and treatment of periodontal </w:t>
      </w:r>
      <w:r w:rsidRPr="002446D3">
        <w:rPr>
          <w:rFonts w:ascii="Times New Roman" w:eastAsia="Calibri" w:hAnsi="Times New Roman" w:cs="Times New Roman"/>
          <w:sz w:val="24"/>
          <w:szCs w:val="24"/>
        </w:rPr>
        <w:t>disease</w:t>
      </w:r>
      <w:r w:rsidR="00E546C3" w:rsidRPr="002446D3">
        <w:rPr>
          <w:rFonts w:ascii="Times New Roman" w:eastAsia="Calibri" w:hAnsi="Times New Roman" w:cs="Times New Roman"/>
          <w:sz w:val="24"/>
          <w:szCs w:val="24"/>
        </w:rPr>
        <w:t xml:space="preserve"> but </w:t>
      </w:r>
      <w:r w:rsidR="00D550D3" w:rsidRPr="002446D3">
        <w:rPr>
          <w:rFonts w:ascii="Times New Roman" w:eastAsia="Calibri" w:hAnsi="Times New Roman" w:cs="Times New Roman"/>
          <w:sz w:val="24"/>
          <w:szCs w:val="24"/>
        </w:rPr>
        <w:t xml:space="preserve">provided insight regarding </w:t>
      </w:r>
      <w:r w:rsidR="00416A0F" w:rsidRPr="002446D3">
        <w:rPr>
          <w:rFonts w:ascii="Times New Roman" w:eastAsia="Calibri" w:hAnsi="Times New Roman" w:cs="Times New Roman"/>
          <w:sz w:val="24"/>
          <w:szCs w:val="24"/>
        </w:rPr>
        <w:t>the adequacy of periodontal assessment protocols with</w:t>
      </w:r>
      <w:r w:rsidR="00E8492B" w:rsidRPr="002446D3">
        <w:rPr>
          <w:rFonts w:ascii="Times New Roman" w:eastAsia="Calibri" w:hAnsi="Times New Roman" w:cs="Times New Roman"/>
          <w:sz w:val="24"/>
          <w:szCs w:val="24"/>
        </w:rPr>
        <w:t>i</w:t>
      </w:r>
      <w:r w:rsidR="00E546C3" w:rsidRPr="002446D3">
        <w:rPr>
          <w:rFonts w:ascii="Times New Roman" w:eastAsia="Calibri" w:hAnsi="Times New Roman" w:cs="Times New Roman"/>
          <w:sz w:val="24"/>
          <w:szCs w:val="24"/>
        </w:rPr>
        <w:t>n general dentistry practices.</w:t>
      </w:r>
      <w:r w:rsidR="00E546C3" w:rsidRPr="002446D3">
        <w:rPr>
          <w:rFonts w:ascii="Times New Roman" w:eastAsia="Calibri" w:hAnsi="Times New Roman" w:cs="Times New Roman"/>
          <w:sz w:val="24"/>
          <w:szCs w:val="24"/>
          <w:vertAlign w:val="superscript"/>
        </w:rPr>
        <w:t>13,14,15,16,17,18</w:t>
      </w:r>
      <w:r w:rsidR="00E546C3">
        <w:rPr>
          <w:rFonts w:ascii="Times New Roman" w:eastAsia="Calibri" w:hAnsi="Times New Roman" w:cs="Times New Roman"/>
          <w:sz w:val="24"/>
          <w:szCs w:val="24"/>
          <w:vertAlign w:val="superscript"/>
        </w:rPr>
        <w:t xml:space="preserve">  </w:t>
      </w:r>
      <w:r w:rsidR="00416A0F" w:rsidRPr="00416A0F">
        <w:rPr>
          <w:rFonts w:ascii="Times New Roman" w:eastAsia="Calibri" w:hAnsi="Times New Roman" w:cs="Times New Roman"/>
          <w:sz w:val="24"/>
          <w:szCs w:val="24"/>
        </w:rPr>
        <w:t xml:space="preserve">Two </w:t>
      </w:r>
      <w:r w:rsidR="000F7B4C">
        <w:rPr>
          <w:rFonts w:ascii="Times New Roman" w:eastAsia="Calibri" w:hAnsi="Times New Roman" w:cs="Times New Roman"/>
          <w:sz w:val="24"/>
          <w:szCs w:val="24"/>
        </w:rPr>
        <w:t xml:space="preserve">additional </w:t>
      </w:r>
      <w:r w:rsidR="00416A0F" w:rsidRPr="00416A0F">
        <w:rPr>
          <w:rFonts w:ascii="Times New Roman" w:eastAsia="Calibri" w:hAnsi="Times New Roman" w:cs="Times New Roman"/>
          <w:sz w:val="24"/>
          <w:szCs w:val="24"/>
        </w:rPr>
        <w:t>st</w:t>
      </w:r>
      <w:r w:rsidR="00A903B6">
        <w:rPr>
          <w:rFonts w:ascii="Times New Roman" w:eastAsia="Calibri" w:hAnsi="Times New Roman" w:cs="Times New Roman"/>
          <w:sz w:val="24"/>
          <w:szCs w:val="24"/>
        </w:rPr>
        <w:t>udies conducted by Linden</w:t>
      </w:r>
      <w:r w:rsidR="000F7B4C">
        <w:rPr>
          <w:rFonts w:ascii="Times New Roman" w:eastAsia="Calibri" w:hAnsi="Times New Roman" w:cs="Times New Roman"/>
          <w:sz w:val="24"/>
          <w:szCs w:val="24"/>
        </w:rPr>
        <w:t xml:space="preserve">, </w:t>
      </w:r>
      <w:r w:rsidR="00416A0F" w:rsidRPr="00416A0F">
        <w:rPr>
          <w:rFonts w:ascii="Times New Roman" w:eastAsia="Calibri" w:hAnsi="Times New Roman" w:cs="Times New Roman"/>
          <w:sz w:val="24"/>
          <w:szCs w:val="24"/>
        </w:rPr>
        <w:t>Li</w:t>
      </w:r>
      <w:r w:rsidR="00A903B6">
        <w:rPr>
          <w:rFonts w:ascii="Times New Roman" w:eastAsia="Calibri" w:hAnsi="Times New Roman" w:cs="Times New Roman"/>
          <w:sz w:val="24"/>
          <w:szCs w:val="24"/>
        </w:rPr>
        <w:t xml:space="preserve">nden, Stevenson, &amp; Burke </w:t>
      </w:r>
      <w:r w:rsidR="00416A0F" w:rsidRPr="00416A0F">
        <w:rPr>
          <w:rFonts w:ascii="Times New Roman" w:eastAsia="Calibri" w:hAnsi="Times New Roman" w:cs="Times New Roman"/>
          <w:sz w:val="24"/>
          <w:szCs w:val="24"/>
        </w:rPr>
        <w:t>revea</w:t>
      </w:r>
      <w:r w:rsidR="00730096">
        <w:rPr>
          <w:rFonts w:ascii="Times New Roman" w:eastAsia="Calibri" w:hAnsi="Times New Roman" w:cs="Times New Roman"/>
          <w:sz w:val="24"/>
          <w:szCs w:val="24"/>
        </w:rPr>
        <w:t>led that dentists did not employ</w:t>
      </w:r>
      <w:r w:rsidR="00416A0F" w:rsidRPr="00416A0F">
        <w:rPr>
          <w:rFonts w:ascii="Times New Roman" w:eastAsia="Calibri" w:hAnsi="Times New Roman" w:cs="Times New Roman"/>
          <w:sz w:val="24"/>
          <w:szCs w:val="24"/>
        </w:rPr>
        <w:t xml:space="preserve"> the necessary periodon</w:t>
      </w:r>
      <w:r w:rsidR="002B7573">
        <w:rPr>
          <w:rFonts w:ascii="Times New Roman" w:eastAsia="Calibri" w:hAnsi="Times New Roman" w:cs="Times New Roman"/>
          <w:sz w:val="24"/>
          <w:szCs w:val="24"/>
        </w:rPr>
        <w:t>tal procedu</w:t>
      </w:r>
      <w:r w:rsidR="000F7B4C">
        <w:rPr>
          <w:rFonts w:ascii="Times New Roman" w:eastAsia="Calibri" w:hAnsi="Times New Roman" w:cs="Times New Roman"/>
          <w:sz w:val="24"/>
          <w:szCs w:val="24"/>
        </w:rPr>
        <w:t xml:space="preserve">res on new patients resulting in </w:t>
      </w:r>
      <w:r w:rsidR="00416A0F" w:rsidRPr="002B7573">
        <w:rPr>
          <w:rFonts w:ascii="Times New Roman" w:eastAsia="Calibri" w:hAnsi="Times New Roman" w:cs="Times New Roman"/>
          <w:sz w:val="24"/>
          <w:szCs w:val="24"/>
        </w:rPr>
        <w:t>under diagnosis o</w:t>
      </w:r>
      <w:r w:rsidR="00A903B6" w:rsidRPr="002B7573">
        <w:rPr>
          <w:rFonts w:ascii="Times New Roman" w:eastAsia="Calibri" w:hAnsi="Times New Roman" w:cs="Times New Roman"/>
          <w:sz w:val="24"/>
          <w:szCs w:val="24"/>
        </w:rPr>
        <w:t>f periodontitis</w:t>
      </w:r>
      <w:r w:rsidR="000F7B4C">
        <w:rPr>
          <w:rFonts w:ascii="Times New Roman" w:eastAsia="Calibri" w:hAnsi="Times New Roman" w:cs="Times New Roman"/>
          <w:sz w:val="24"/>
          <w:szCs w:val="24"/>
        </w:rPr>
        <w:t>.</w:t>
      </w:r>
      <w:r w:rsidR="00A903B6" w:rsidRPr="002B7573">
        <w:rPr>
          <w:rFonts w:ascii="Times New Roman" w:eastAsia="Calibri" w:hAnsi="Times New Roman" w:cs="Times New Roman"/>
          <w:sz w:val="24"/>
          <w:szCs w:val="24"/>
          <w:vertAlign w:val="superscript"/>
        </w:rPr>
        <w:t>1</w:t>
      </w:r>
      <w:r w:rsidR="00F51705">
        <w:rPr>
          <w:rFonts w:ascii="Times New Roman" w:eastAsia="Calibri" w:hAnsi="Times New Roman" w:cs="Times New Roman"/>
          <w:sz w:val="24"/>
          <w:szCs w:val="24"/>
          <w:vertAlign w:val="superscript"/>
        </w:rPr>
        <w:t>3</w:t>
      </w:r>
      <w:r w:rsidR="000F7B4C">
        <w:rPr>
          <w:rFonts w:ascii="Times New Roman" w:eastAsia="Calibri" w:hAnsi="Times New Roman" w:cs="Times New Roman"/>
          <w:sz w:val="24"/>
          <w:szCs w:val="24"/>
          <w:vertAlign w:val="superscript"/>
        </w:rPr>
        <w:t>, 1</w:t>
      </w:r>
      <w:r w:rsidR="00F51705">
        <w:rPr>
          <w:rFonts w:ascii="Times New Roman" w:eastAsia="Calibri" w:hAnsi="Times New Roman" w:cs="Times New Roman"/>
          <w:sz w:val="24"/>
          <w:szCs w:val="24"/>
          <w:vertAlign w:val="superscript"/>
        </w:rPr>
        <w:t>4</w:t>
      </w:r>
      <w:r w:rsidR="00A903B6" w:rsidRPr="002B7573">
        <w:rPr>
          <w:rFonts w:ascii="Times New Roman" w:eastAsia="Calibri" w:hAnsi="Times New Roman" w:cs="Times New Roman"/>
          <w:sz w:val="24"/>
          <w:szCs w:val="24"/>
          <w:vertAlign w:val="superscript"/>
        </w:rPr>
        <w:t xml:space="preserve"> </w:t>
      </w:r>
      <w:r w:rsidR="00416A0F" w:rsidRPr="002B7573">
        <w:rPr>
          <w:rFonts w:ascii="Times New Roman" w:eastAsia="Calibri" w:hAnsi="Times New Roman" w:cs="Times New Roman"/>
          <w:sz w:val="24"/>
          <w:szCs w:val="24"/>
        </w:rPr>
        <w:t xml:space="preserve"> </w:t>
      </w:r>
      <w:r w:rsidR="00D07F92">
        <w:rPr>
          <w:rFonts w:ascii="Times New Roman" w:eastAsia="Calibri" w:hAnsi="Times New Roman" w:cs="Times New Roman"/>
          <w:sz w:val="24"/>
          <w:szCs w:val="24"/>
        </w:rPr>
        <w:t xml:space="preserve"> </w:t>
      </w:r>
      <w:r w:rsidR="00416A0F" w:rsidRPr="002B7573">
        <w:rPr>
          <w:rFonts w:ascii="Times New Roman" w:eastAsia="Calibri" w:hAnsi="Times New Roman" w:cs="Times New Roman"/>
          <w:sz w:val="24"/>
          <w:szCs w:val="24"/>
        </w:rPr>
        <w:t xml:space="preserve">Based on the analysis of the data obtained by </w:t>
      </w:r>
      <w:proofErr w:type="spellStart"/>
      <w:r w:rsidR="00416A0F" w:rsidRPr="002B7573">
        <w:rPr>
          <w:rFonts w:ascii="Times New Roman" w:eastAsia="Calibri" w:hAnsi="Times New Roman" w:cs="Times New Roman"/>
          <w:sz w:val="24"/>
          <w:szCs w:val="24"/>
        </w:rPr>
        <w:t>Dockt</w:t>
      </w:r>
      <w:r w:rsidR="00A903B6" w:rsidRPr="002B7573">
        <w:rPr>
          <w:rFonts w:ascii="Times New Roman" w:eastAsia="Calibri" w:hAnsi="Times New Roman" w:cs="Times New Roman"/>
          <w:sz w:val="24"/>
          <w:szCs w:val="24"/>
        </w:rPr>
        <w:t>er</w:t>
      </w:r>
      <w:proofErr w:type="spellEnd"/>
      <w:r w:rsidR="00A903B6" w:rsidRPr="002B7573">
        <w:rPr>
          <w:rFonts w:ascii="Times New Roman" w:eastAsia="Calibri" w:hAnsi="Times New Roman" w:cs="Times New Roman"/>
          <w:sz w:val="24"/>
          <w:szCs w:val="24"/>
        </w:rPr>
        <w:t>, Williams, Bray &amp; Cobb</w:t>
      </w:r>
      <w:r w:rsidR="00416A0F" w:rsidRPr="002B7573">
        <w:rPr>
          <w:rFonts w:ascii="Times New Roman" w:eastAsia="Calibri" w:hAnsi="Times New Roman" w:cs="Times New Roman"/>
          <w:sz w:val="24"/>
          <w:szCs w:val="24"/>
        </w:rPr>
        <w:t xml:space="preserve">, the care received by patients </w:t>
      </w:r>
      <w:r w:rsidR="00D07F92">
        <w:rPr>
          <w:rFonts w:ascii="Times New Roman" w:eastAsia="Calibri" w:hAnsi="Times New Roman" w:cs="Times New Roman"/>
          <w:sz w:val="24"/>
          <w:szCs w:val="24"/>
        </w:rPr>
        <w:t xml:space="preserve">within general dentistry practices </w:t>
      </w:r>
      <w:r w:rsidR="00416A0F" w:rsidRPr="002B7573">
        <w:rPr>
          <w:rFonts w:ascii="Times New Roman" w:eastAsia="Calibri" w:hAnsi="Times New Roman" w:cs="Times New Roman"/>
          <w:sz w:val="24"/>
          <w:szCs w:val="24"/>
        </w:rPr>
        <w:t>was not altered based on the severity o</w:t>
      </w:r>
      <w:r w:rsidR="00E8492B">
        <w:rPr>
          <w:rFonts w:ascii="Times New Roman" w:eastAsia="Calibri" w:hAnsi="Times New Roman" w:cs="Times New Roman"/>
          <w:sz w:val="24"/>
          <w:szCs w:val="24"/>
        </w:rPr>
        <w:t xml:space="preserve">f disease.  </w:t>
      </w:r>
      <w:r w:rsidR="00F51705" w:rsidRPr="002B7573">
        <w:rPr>
          <w:rFonts w:ascii="Times New Roman" w:eastAsia="Calibri" w:hAnsi="Times New Roman" w:cs="Times New Roman"/>
          <w:sz w:val="24"/>
          <w:szCs w:val="24"/>
        </w:rPr>
        <w:t xml:space="preserve">The authors expressed “that dentistry is failing to address issues of </w:t>
      </w:r>
      <w:r w:rsidR="00F51705" w:rsidRPr="002B7573">
        <w:rPr>
          <w:rFonts w:ascii="Times New Roman" w:eastAsia="Calibri" w:hAnsi="Times New Roman" w:cs="Times New Roman"/>
          <w:sz w:val="24"/>
          <w:szCs w:val="24"/>
        </w:rPr>
        <w:lastRenderedPageBreak/>
        <w:t>timely diagnosis, appropriate treatment, and/or timely referral for treatment.</w:t>
      </w:r>
      <w:r w:rsidR="00F875FE">
        <w:rPr>
          <w:rFonts w:ascii="Times New Roman" w:eastAsia="Calibri" w:hAnsi="Times New Roman" w:cs="Times New Roman"/>
          <w:sz w:val="24"/>
          <w:szCs w:val="24"/>
        </w:rPr>
        <w:t>”</w:t>
      </w:r>
      <w:r w:rsidR="00F51705">
        <w:rPr>
          <w:rFonts w:ascii="Times New Roman" w:eastAsia="Calibri" w:hAnsi="Times New Roman" w:cs="Times New Roman"/>
          <w:sz w:val="24"/>
          <w:szCs w:val="24"/>
          <w:vertAlign w:val="superscript"/>
        </w:rPr>
        <w:t xml:space="preserve">14   </w:t>
      </w:r>
      <w:r w:rsidR="000F7B4C">
        <w:rPr>
          <w:rFonts w:ascii="Times New Roman" w:eastAsia="Calibri" w:hAnsi="Times New Roman" w:cs="Times New Roman"/>
          <w:sz w:val="24"/>
          <w:szCs w:val="24"/>
        </w:rPr>
        <w:t xml:space="preserve">This </w:t>
      </w:r>
      <w:r w:rsidR="00D550D3" w:rsidRPr="002B7573">
        <w:rPr>
          <w:rFonts w:ascii="Times New Roman" w:eastAsia="Calibri" w:hAnsi="Times New Roman" w:cs="Times New Roman"/>
          <w:sz w:val="24"/>
          <w:szCs w:val="24"/>
        </w:rPr>
        <w:t>indicat</w:t>
      </w:r>
      <w:r w:rsidR="002B7573" w:rsidRPr="002B7573">
        <w:rPr>
          <w:rFonts w:ascii="Times New Roman" w:eastAsia="Calibri" w:hAnsi="Times New Roman" w:cs="Times New Roman"/>
          <w:sz w:val="24"/>
          <w:szCs w:val="24"/>
        </w:rPr>
        <w:t>e</w:t>
      </w:r>
      <w:r w:rsidR="00D550D3" w:rsidRPr="002B7573">
        <w:rPr>
          <w:rFonts w:ascii="Times New Roman" w:eastAsia="Calibri" w:hAnsi="Times New Roman" w:cs="Times New Roman"/>
          <w:sz w:val="24"/>
          <w:szCs w:val="24"/>
        </w:rPr>
        <w:t>s</w:t>
      </w:r>
      <w:r w:rsidR="00416A0F" w:rsidRPr="002B7573">
        <w:rPr>
          <w:rFonts w:ascii="Times New Roman" w:eastAsia="Calibri" w:hAnsi="Times New Roman" w:cs="Times New Roman"/>
          <w:sz w:val="24"/>
          <w:szCs w:val="24"/>
        </w:rPr>
        <w:t xml:space="preserve"> the care received was less than stan</w:t>
      </w:r>
      <w:r w:rsidR="00E8492B">
        <w:rPr>
          <w:rFonts w:ascii="Times New Roman" w:eastAsia="Calibri" w:hAnsi="Times New Roman" w:cs="Times New Roman"/>
          <w:sz w:val="24"/>
          <w:szCs w:val="24"/>
        </w:rPr>
        <w:t xml:space="preserve">dard, even for healthy patients.  </w:t>
      </w:r>
      <w:r w:rsidR="00A903B6" w:rsidRPr="002B7573">
        <w:rPr>
          <w:rFonts w:ascii="Times New Roman" w:eastAsia="Calibri" w:hAnsi="Times New Roman" w:cs="Times New Roman"/>
          <w:sz w:val="24"/>
          <w:szCs w:val="24"/>
        </w:rPr>
        <w:t xml:space="preserve">Research </w:t>
      </w:r>
      <w:r w:rsidR="00D550D3" w:rsidRPr="002B7573">
        <w:rPr>
          <w:rFonts w:ascii="Times New Roman" w:eastAsia="Calibri" w:hAnsi="Times New Roman" w:cs="Times New Roman"/>
          <w:sz w:val="24"/>
          <w:szCs w:val="24"/>
        </w:rPr>
        <w:t xml:space="preserve">published in 2011 </w:t>
      </w:r>
      <w:r w:rsidR="00A903B6" w:rsidRPr="002B7573">
        <w:rPr>
          <w:rFonts w:ascii="Times New Roman" w:eastAsia="Calibri" w:hAnsi="Times New Roman" w:cs="Times New Roman"/>
          <w:sz w:val="24"/>
          <w:szCs w:val="24"/>
        </w:rPr>
        <w:t>by</w:t>
      </w:r>
      <w:r w:rsidR="00416A0F" w:rsidRPr="002B7573">
        <w:rPr>
          <w:rFonts w:ascii="Times New Roman" w:eastAsia="Calibri" w:hAnsi="Times New Roman" w:cs="Times New Roman"/>
          <w:sz w:val="24"/>
          <w:szCs w:val="24"/>
        </w:rPr>
        <w:t xml:space="preserve"> </w:t>
      </w:r>
      <w:proofErr w:type="spellStart"/>
      <w:r w:rsidR="00416A0F" w:rsidRPr="002B7573">
        <w:rPr>
          <w:rFonts w:ascii="Times New Roman" w:eastAsia="Calibri" w:hAnsi="Times New Roman" w:cs="Times New Roman"/>
          <w:sz w:val="24"/>
          <w:szCs w:val="24"/>
        </w:rPr>
        <w:t>Ghiabi</w:t>
      </w:r>
      <w:proofErr w:type="spellEnd"/>
      <w:r w:rsidR="00A903B6" w:rsidRPr="002B7573">
        <w:rPr>
          <w:rFonts w:ascii="Times New Roman" w:eastAsia="Calibri" w:hAnsi="Times New Roman" w:cs="Times New Roman"/>
          <w:sz w:val="24"/>
          <w:szCs w:val="24"/>
        </w:rPr>
        <w:t xml:space="preserve"> &amp; </w:t>
      </w:r>
      <w:proofErr w:type="spellStart"/>
      <w:r w:rsidR="00A903B6" w:rsidRPr="002B7573">
        <w:rPr>
          <w:rFonts w:ascii="Times New Roman" w:eastAsia="Calibri" w:hAnsi="Times New Roman" w:cs="Times New Roman"/>
          <w:sz w:val="24"/>
          <w:szCs w:val="24"/>
        </w:rPr>
        <w:t>Weerasinghe</w:t>
      </w:r>
      <w:proofErr w:type="spellEnd"/>
      <w:r w:rsidR="002B7573" w:rsidRPr="002B7573">
        <w:rPr>
          <w:rFonts w:ascii="Times New Roman" w:eastAsia="Calibri" w:hAnsi="Times New Roman" w:cs="Times New Roman"/>
          <w:sz w:val="24"/>
          <w:szCs w:val="24"/>
        </w:rPr>
        <w:t xml:space="preserve"> </w:t>
      </w:r>
      <w:r w:rsidR="00416A0F" w:rsidRPr="002B7573">
        <w:rPr>
          <w:rFonts w:ascii="Times New Roman" w:eastAsia="Calibri" w:hAnsi="Times New Roman" w:cs="Times New Roman"/>
          <w:sz w:val="24"/>
          <w:szCs w:val="24"/>
        </w:rPr>
        <w:t>investig</w:t>
      </w:r>
      <w:r w:rsidR="002B7573" w:rsidRPr="002B7573">
        <w:rPr>
          <w:rFonts w:ascii="Times New Roman" w:eastAsia="Calibri" w:hAnsi="Times New Roman" w:cs="Times New Roman"/>
          <w:sz w:val="24"/>
          <w:szCs w:val="24"/>
        </w:rPr>
        <w:t>ated periodontal assessment and diagnostic protocol</w:t>
      </w:r>
      <w:r w:rsidR="00D550D3" w:rsidRPr="002B7573">
        <w:rPr>
          <w:rFonts w:ascii="Times New Roman" w:eastAsia="Calibri" w:hAnsi="Times New Roman" w:cs="Times New Roman"/>
          <w:sz w:val="24"/>
          <w:szCs w:val="24"/>
        </w:rPr>
        <w:t xml:space="preserve">s practiced </w:t>
      </w:r>
      <w:r w:rsidR="00416A0F" w:rsidRPr="002B7573">
        <w:rPr>
          <w:rFonts w:ascii="Times New Roman" w:eastAsia="Calibri" w:hAnsi="Times New Roman" w:cs="Times New Roman"/>
          <w:sz w:val="24"/>
          <w:szCs w:val="24"/>
        </w:rPr>
        <w:t>by general d</w:t>
      </w:r>
      <w:r w:rsidR="002B7573" w:rsidRPr="002B7573">
        <w:rPr>
          <w:rFonts w:ascii="Times New Roman" w:eastAsia="Calibri" w:hAnsi="Times New Roman" w:cs="Times New Roman"/>
          <w:sz w:val="24"/>
          <w:szCs w:val="24"/>
        </w:rPr>
        <w:t xml:space="preserve">entists in Nova Scotia, Canada.  </w:t>
      </w:r>
      <w:r w:rsidR="00D550D3" w:rsidRPr="002B7573">
        <w:rPr>
          <w:rFonts w:ascii="Times New Roman" w:eastAsia="Calibri" w:hAnsi="Times New Roman" w:cs="Times New Roman"/>
          <w:sz w:val="24"/>
          <w:szCs w:val="24"/>
        </w:rPr>
        <w:t>T</w:t>
      </w:r>
      <w:r w:rsidR="00416A0F" w:rsidRPr="002B7573">
        <w:rPr>
          <w:rFonts w:ascii="Times New Roman" w:eastAsia="Calibri" w:hAnsi="Times New Roman" w:cs="Times New Roman"/>
          <w:sz w:val="24"/>
          <w:szCs w:val="24"/>
        </w:rPr>
        <w:t>here was a lack of periodontal probing or assessment leading to an underestimation as well as under diagnosis of period</w:t>
      </w:r>
      <w:r w:rsidR="00656350" w:rsidRPr="002B7573">
        <w:rPr>
          <w:rFonts w:ascii="Times New Roman" w:eastAsia="Calibri" w:hAnsi="Times New Roman" w:cs="Times New Roman"/>
          <w:sz w:val="24"/>
          <w:szCs w:val="24"/>
        </w:rPr>
        <w:t>ontal disease</w:t>
      </w:r>
      <w:r w:rsidR="00E8492B">
        <w:rPr>
          <w:rFonts w:ascii="Times New Roman" w:eastAsia="Calibri" w:hAnsi="Times New Roman" w:cs="Times New Roman"/>
          <w:sz w:val="24"/>
          <w:szCs w:val="24"/>
        </w:rPr>
        <w:t xml:space="preserve">.  </w:t>
      </w:r>
      <w:r w:rsidR="00DE7ABC" w:rsidRPr="002B7573">
        <w:rPr>
          <w:rFonts w:ascii="Times New Roman" w:eastAsia="Calibri" w:hAnsi="Times New Roman" w:cs="Times New Roman"/>
          <w:sz w:val="24"/>
          <w:szCs w:val="24"/>
        </w:rPr>
        <w:t>The authors</w:t>
      </w:r>
      <w:r w:rsidR="00656350" w:rsidRPr="002B7573">
        <w:rPr>
          <w:rFonts w:ascii="Times New Roman" w:eastAsia="Calibri" w:hAnsi="Times New Roman" w:cs="Times New Roman"/>
          <w:sz w:val="24"/>
          <w:szCs w:val="24"/>
        </w:rPr>
        <w:t xml:space="preserve"> </w:t>
      </w:r>
      <w:r w:rsidR="00416A0F" w:rsidRPr="002B7573">
        <w:rPr>
          <w:rFonts w:ascii="Times New Roman" w:eastAsia="Calibri" w:hAnsi="Times New Roman" w:cs="Times New Roman"/>
          <w:sz w:val="24"/>
          <w:szCs w:val="24"/>
        </w:rPr>
        <w:t xml:space="preserve">emphasized the importance of </w:t>
      </w:r>
      <w:r w:rsidR="002B7573" w:rsidRPr="002B7573">
        <w:rPr>
          <w:rFonts w:ascii="Times New Roman" w:eastAsia="Calibri" w:hAnsi="Times New Roman" w:cs="Times New Roman"/>
          <w:sz w:val="24"/>
          <w:szCs w:val="24"/>
        </w:rPr>
        <w:t>continued research in this area</w:t>
      </w:r>
      <w:r w:rsidR="00416A0F" w:rsidRPr="002B7573">
        <w:rPr>
          <w:rFonts w:ascii="Times New Roman" w:eastAsia="Calibri" w:hAnsi="Times New Roman" w:cs="Times New Roman"/>
          <w:sz w:val="24"/>
          <w:szCs w:val="24"/>
        </w:rPr>
        <w:t xml:space="preserve"> </w:t>
      </w:r>
      <w:r w:rsidR="00DE7ABC" w:rsidRPr="002B7573">
        <w:rPr>
          <w:rFonts w:ascii="Times New Roman" w:eastAsia="Calibri" w:hAnsi="Times New Roman" w:cs="Times New Roman"/>
          <w:sz w:val="24"/>
          <w:szCs w:val="24"/>
        </w:rPr>
        <w:t xml:space="preserve">with </w:t>
      </w:r>
      <w:r w:rsidR="00416A0F" w:rsidRPr="002B7573">
        <w:rPr>
          <w:rFonts w:ascii="Times New Roman" w:eastAsia="Calibri" w:hAnsi="Times New Roman" w:cs="Times New Roman"/>
          <w:sz w:val="24"/>
          <w:szCs w:val="24"/>
        </w:rPr>
        <w:t>larger survey samples to validate their current findings.</w:t>
      </w:r>
      <w:r w:rsidR="00D07F92">
        <w:rPr>
          <w:rFonts w:ascii="Times New Roman" w:eastAsia="Calibri" w:hAnsi="Times New Roman" w:cs="Times New Roman"/>
          <w:sz w:val="24"/>
          <w:szCs w:val="24"/>
        </w:rPr>
        <w:t xml:space="preserve"> </w:t>
      </w:r>
      <w:r w:rsidR="00416A0F" w:rsidRPr="002B7573">
        <w:rPr>
          <w:rFonts w:ascii="Times New Roman" w:eastAsia="Calibri" w:hAnsi="Times New Roman" w:cs="Times New Roman"/>
          <w:sz w:val="24"/>
          <w:szCs w:val="24"/>
        </w:rPr>
        <w:t xml:space="preserve"> Additionally, the authors suggested f</w:t>
      </w:r>
      <w:r w:rsidR="000F7B4C">
        <w:rPr>
          <w:rFonts w:ascii="Times New Roman" w:eastAsia="Calibri" w:hAnsi="Times New Roman" w:cs="Times New Roman"/>
          <w:sz w:val="24"/>
          <w:szCs w:val="24"/>
        </w:rPr>
        <w:t>uture research of periodontal assessment</w:t>
      </w:r>
      <w:r w:rsidR="00DE7ABC" w:rsidRPr="002B7573">
        <w:rPr>
          <w:rFonts w:ascii="Times New Roman" w:eastAsia="Calibri" w:hAnsi="Times New Roman" w:cs="Times New Roman"/>
          <w:sz w:val="24"/>
          <w:szCs w:val="24"/>
        </w:rPr>
        <w:t xml:space="preserve"> </w:t>
      </w:r>
      <w:r w:rsidR="00F51705">
        <w:rPr>
          <w:rFonts w:ascii="Times New Roman" w:eastAsia="Calibri" w:hAnsi="Times New Roman" w:cs="Times New Roman"/>
          <w:sz w:val="24"/>
          <w:szCs w:val="24"/>
        </w:rPr>
        <w:t xml:space="preserve">techniques </w:t>
      </w:r>
      <w:r w:rsidR="00416A0F" w:rsidRPr="002B7573">
        <w:rPr>
          <w:rFonts w:ascii="Times New Roman" w:eastAsia="Calibri" w:hAnsi="Times New Roman" w:cs="Times New Roman"/>
          <w:sz w:val="24"/>
          <w:szCs w:val="24"/>
        </w:rPr>
        <w:t xml:space="preserve">should </w:t>
      </w:r>
      <w:r w:rsidR="00DE7ABC" w:rsidRPr="002B7573">
        <w:rPr>
          <w:rFonts w:ascii="Times New Roman" w:eastAsia="Calibri" w:hAnsi="Times New Roman" w:cs="Times New Roman"/>
          <w:sz w:val="24"/>
          <w:szCs w:val="24"/>
        </w:rPr>
        <w:t xml:space="preserve">evaluate </w:t>
      </w:r>
      <w:r w:rsidR="00416A0F" w:rsidRPr="002B7573">
        <w:rPr>
          <w:rFonts w:ascii="Times New Roman" w:eastAsia="Calibri" w:hAnsi="Times New Roman" w:cs="Times New Roman"/>
          <w:sz w:val="24"/>
          <w:szCs w:val="24"/>
        </w:rPr>
        <w:t xml:space="preserve">the teaching methods </w:t>
      </w:r>
      <w:r w:rsidR="00DE7ABC" w:rsidRPr="002B7573">
        <w:rPr>
          <w:rFonts w:ascii="Times New Roman" w:eastAsia="Calibri" w:hAnsi="Times New Roman" w:cs="Times New Roman"/>
          <w:sz w:val="24"/>
          <w:szCs w:val="24"/>
        </w:rPr>
        <w:t xml:space="preserve">presented </w:t>
      </w:r>
      <w:r w:rsidR="00D07F92">
        <w:rPr>
          <w:rFonts w:ascii="Times New Roman" w:eastAsia="Calibri" w:hAnsi="Times New Roman" w:cs="Times New Roman"/>
          <w:sz w:val="24"/>
          <w:szCs w:val="24"/>
        </w:rPr>
        <w:t xml:space="preserve">to dentists and dental hygienists </w:t>
      </w:r>
      <w:r w:rsidR="002B7573" w:rsidRPr="002B7573">
        <w:rPr>
          <w:rFonts w:ascii="Times New Roman" w:eastAsia="Calibri" w:hAnsi="Times New Roman" w:cs="Times New Roman"/>
          <w:sz w:val="24"/>
          <w:szCs w:val="24"/>
        </w:rPr>
        <w:t>in educational settings</w:t>
      </w:r>
      <w:r w:rsidR="00416A0F" w:rsidRPr="002B7573">
        <w:rPr>
          <w:rFonts w:ascii="Times New Roman" w:eastAsia="Calibri" w:hAnsi="Times New Roman" w:cs="Times New Roman"/>
          <w:sz w:val="24"/>
          <w:szCs w:val="24"/>
        </w:rPr>
        <w:t>.</w:t>
      </w:r>
      <w:r w:rsidR="00F51705">
        <w:rPr>
          <w:rFonts w:ascii="Times New Roman" w:eastAsia="Calibri" w:hAnsi="Times New Roman" w:cs="Times New Roman"/>
          <w:sz w:val="24"/>
          <w:szCs w:val="24"/>
          <w:vertAlign w:val="superscript"/>
        </w:rPr>
        <w:t>16</w:t>
      </w:r>
      <w:r w:rsidR="00416A0F" w:rsidRPr="002B7573">
        <w:rPr>
          <w:rFonts w:ascii="Times New Roman" w:eastAsia="Calibri" w:hAnsi="Times New Roman" w:cs="Times New Roman"/>
          <w:sz w:val="24"/>
          <w:szCs w:val="24"/>
        </w:rPr>
        <w:t xml:space="preserve"> </w:t>
      </w:r>
    </w:p>
    <w:p w:rsidR="002B7573" w:rsidRPr="002B7573" w:rsidRDefault="007704E3" w:rsidP="006353E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F1B17" w:rsidRPr="002B7573">
        <w:rPr>
          <w:rFonts w:ascii="Times New Roman" w:hAnsi="Times New Roman" w:cs="Times New Roman"/>
          <w:sz w:val="24"/>
          <w:szCs w:val="24"/>
        </w:rPr>
        <w:t>The purpose of this study wa</w:t>
      </w:r>
      <w:r w:rsidR="006353E1" w:rsidRPr="002B7573">
        <w:rPr>
          <w:rFonts w:ascii="Times New Roman" w:hAnsi="Times New Roman" w:cs="Times New Roman"/>
          <w:sz w:val="24"/>
          <w:szCs w:val="24"/>
        </w:rPr>
        <w:t>s to</w:t>
      </w:r>
      <w:r w:rsidR="00DE7ABC" w:rsidRPr="002B7573">
        <w:rPr>
          <w:rFonts w:ascii="Times New Roman" w:hAnsi="Times New Roman" w:cs="Times New Roman"/>
          <w:sz w:val="24"/>
          <w:szCs w:val="24"/>
        </w:rPr>
        <w:t xml:space="preserve"> </w:t>
      </w:r>
      <w:r w:rsidR="00E63DEB">
        <w:rPr>
          <w:rFonts w:ascii="Times New Roman" w:hAnsi="Times New Roman" w:cs="Times New Roman"/>
          <w:sz w:val="24"/>
          <w:szCs w:val="24"/>
        </w:rPr>
        <w:t>survey</w:t>
      </w:r>
      <w:r w:rsidR="00E63DEB" w:rsidRPr="002B7573">
        <w:rPr>
          <w:rFonts w:ascii="Times New Roman" w:hAnsi="Times New Roman" w:cs="Times New Roman"/>
          <w:sz w:val="24"/>
          <w:szCs w:val="24"/>
        </w:rPr>
        <w:t xml:space="preserve"> </w:t>
      </w:r>
      <w:r w:rsidR="006C19AE">
        <w:rPr>
          <w:rFonts w:ascii="Times New Roman" w:hAnsi="Times New Roman" w:cs="Times New Roman"/>
          <w:sz w:val="24"/>
          <w:szCs w:val="24"/>
        </w:rPr>
        <w:t xml:space="preserve">Indiana </w:t>
      </w:r>
      <w:r w:rsidR="00E63DEB">
        <w:rPr>
          <w:rFonts w:ascii="Times New Roman" w:hAnsi="Times New Roman" w:cs="Times New Roman"/>
          <w:sz w:val="24"/>
          <w:szCs w:val="24"/>
        </w:rPr>
        <w:t>dental hygienists</w:t>
      </w:r>
      <w:r w:rsidR="00F875FE">
        <w:rPr>
          <w:rFonts w:ascii="Times New Roman" w:hAnsi="Times New Roman" w:cs="Times New Roman"/>
          <w:sz w:val="24"/>
          <w:szCs w:val="24"/>
        </w:rPr>
        <w:t>’</w:t>
      </w:r>
      <w:r w:rsidR="00E63DEB">
        <w:rPr>
          <w:rFonts w:ascii="Times New Roman" w:hAnsi="Times New Roman" w:cs="Times New Roman"/>
          <w:sz w:val="24"/>
          <w:szCs w:val="24"/>
        </w:rPr>
        <w:t xml:space="preserve"> awareness and utilization of the periodontal assessment procedures recommended by the AAP</w:t>
      </w:r>
      <w:r w:rsidR="00F875FE">
        <w:rPr>
          <w:rFonts w:ascii="Times New Roman" w:hAnsi="Times New Roman" w:cs="Times New Roman"/>
          <w:sz w:val="24"/>
          <w:szCs w:val="24"/>
        </w:rPr>
        <w:t xml:space="preserve">.  The study also examined </w:t>
      </w:r>
      <w:r w:rsidR="00DE7ABC" w:rsidRPr="002B7573">
        <w:rPr>
          <w:rFonts w:ascii="Times New Roman" w:hAnsi="Times New Roman" w:cs="Times New Roman"/>
          <w:sz w:val="24"/>
          <w:szCs w:val="24"/>
        </w:rPr>
        <w:t>the relationship</w:t>
      </w:r>
      <w:r w:rsidR="00F875FE">
        <w:rPr>
          <w:rFonts w:ascii="Times New Roman" w:hAnsi="Times New Roman" w:cs="Times New Roman"/>
          <w:sz w:val="24"/>
          <w:szCs w:val="24"/>
        </w:rPr>
        <w:t>s</w:t>
      </w:r>
      <w:r w:rsidR="00DE7ABC" w:rsidRPr="002B7573">
        <w:rPr>
          <w:rFonts w:ascii="Times New Roman" w:hAnsi="Times New Roman" w:cs="Times New Roman"/>
          <w:sz w:val="24"/>
          <w:szCs w:val="24"/>
        </w:rPr>
        <w:t xml:space="preserve"> between the recommended AAP periodontal assessment procedures </w:t>
      </w:r>
      <w:r w:rsidR="00F51705">
        <w:rPr>
          <w:rFonts w:ascii="Times New Roman" w:hAnsi="Times New Roman" w:cs="Times New Roman"/>
          <w:sz w:val="24"/>
          <w:szCs w:val="24"/>
        </w:rPr>
        <w:t xml:space="preserve">being routinely utilized in dental practices </w:t>
      </w:r>
      <w:r w:rsidR="00DE7ABC" w:rsidRPr="002B7573">
        <w:rPr>
          <w:rFonts w:ascii="Times New Roman" w:hAnsi="Times New Roman" w:cs="Times New Roman"/>
          <w:sz w:val="24"/>
          <w:szCs w:val="24"/>
        </w:rPr>
        <w:t>and education levels, experience, and employment status of practicing dental hygienists in Indiana.</w:t>
      </w:r>
      <w:r w:rsidR="00E63DEB">
        <w:rPr>
          <w:rFonts w:ascii="Times New Roman" w:hAnsi="Times New Roman" w:cs="Times New Roman"/>
          <w:sz w:val="24"/>
          <w:szCs w:val="24"/>
        </w:rPr>
        <w:t xml:space="preserve">  </w:t>
      </w:r>
    </w:p>
    <w:p w:rsidR="008F1B17" w:rsidRDefault="00805987" w:rsidP="00805987">
      <w:pPr>
        <w:spacing w:line="480" w:lineRule="auto"/>
        <w:contextualSpacing/>
        <w:rPr>
          <w:rFonts w:ascii="Times New Roman" w:eastAsia="Times New Roman" w:hAnsi="Times New Roman" w:cs="Times New Roman"/>
          <w:b/>
          <w:sz w:val="24"/>
          <w:szCs w:val="24"/>
        </w:rPr>
      </w:pPr>
      <w:r w:rsidRPr="00AF5E8A">
        <w:rPr>
          <w:rFonts w:ascii="Times New Roman" w:eastAsia="Times New Roman" w:hAnsi="Times New Roman" w:cs="Times New Roman"/>
          <w:b/>
          <w:sz w:val="24"/>
          <w:szCs w:val="24"/>
        </w:rPr>
        <w:t>METHODS</w:t>
      </w:r>
      <w:r w:rsidR="00F51705">
        <w:rPr>
          <w:rFonts w:ascii="Times New Roman" w:eastAsia="Times New Roman" w:hAnsi="Times New Roman" w:cs="Times New Roman"/>
          <w:b/>
          <w:sz w:val="24"/>
          <w:szCs w:val="24"/>
        </w:rPr>
        <w:t xml:space="preserve"> AND MATERIALS</w:t>
      </w:r>
    </w:p>
    <w:p w:rsidR="00EA5CFD" w:rsidRPr="009A37AC" w:rsidRDefault="00EA5CFD" w:rsidP="00EA5CFD">
      <w:pPr>
        <w:spacing w:line="480" w:lineRule="auto"/>
        <w:ind w:firstLine="720"/>
        <w:contextualSpacing/>
        <w:rPr>
          <w:rFonts w:ascii="Times New Roman" w:hAnsi="Times New Roman" w:cs="Times New Roman"/>
          <w:b/>
          <w:sz w:val="24"/>
          <w:szCs w:val="24"/>
        </w:rPr>
      </w:pPr>
      <w:r w:rsidRPr="009A37AC">
        <w:rPr>
          <w:rFonts w:ascii="Times New Roman" w:eastAsia="Times New Roman" w:hAnsi="Times New Roman" w:cs="Times New Roman"/>
          <w:sz w:val="24"/>
          <w:szCs w:val="24"/>
        </w:rPr>
        <w:t>This study employed a quantitative approach using a cross-sectional survey design to examine the use of AAP periodontal assessme</w:t>
      </w:r>
      <w:r w:rsidR="000F7B4C">
        <w:rPr>
          <w:rFonts w:ascii="Times New Roman" w:eastAsia="Times New Roman" w:hAnsi="Times New Roman" w:cs="Times New Roman"/>
          <w:sz w:val="24"/>
          <w:szCs w:val="24"/>
        </w:rPr>
        <w:t>nt procedures practiced by</w:t>
      </w:r>
      <w:r w:rsidRPr="009A37AC">
        <w:rPr>
          <w:rFonts w:ascii="Times New Roman" w:eastAsia="Times New Roman" w:hAnsi="Times New Roman" w:cs="Times New Roman"/>
          <w:sz w:val="24"/>
          <w:szCs w:val="24"/>
        </w:rPr>
        <w:t xml:space="preserve"> dental hygienist</w:t>
      </w:r>
      <w:r w:rsidR="00A03008">
        <w:rPr>
          <w:rFonts w:ascii="Times New Roman" w:eastAsia="Times New Roman" w:hAnsi="Times New Roman" w:cs="Times New Roman"/>
          <w:sz w:val="24"/>
          <w:szCs w:val="24"/>
        </w:rPr>
        <w:t>s</w:t>
      </w:r>
      <w:r w:rsidR="000F7B4C">
        <w:rPr>
          <w:rFonts w:ascii="Times New Roman" w:eastAsia="Times New Roman" w:hAnsi="Times New Roman" w:cs="Times New Roman"/>
          <w:sz w:val="24"/>
          <w:szCs w:val="24"/>
        </w:rPr>
        <w:t xml:space="preserve"> in Indiana</w:t>
      </w:r>
      <w:r w:rsidR="00A03008">
        <w:rPr>
          <w:rFonts w:ascii="Times New Roman" w:eastAsia="Times New Roman" w:hAnsi="Times New Roman" w:cs="Times New Roman"/>
          <w:sz w:val="24"/>
          <w:szCs w:val="24"/>
        </w:rPr>
        <w:t xml:space="preserve">. </w:t>
      </w:r>
      <w:r w:rsidR="00805987" w:rsidRPr="009A37AC">
        <w:rPr>
          <w:rFonts w:ascii="Times New Roman" w:eastAsia="Times New Roman" w:hAnsi="Times New Roman" w:cs="Times New Roman"/>
          <w:sz w:val="24"/>
          <w:szCs w:val="24"/>
        </w:rPr>
        <w:t xml:space="preserve"> </w:t>
      </w:r>
      <w:r w:rsidR="000F7B4C">
        <w:rPr>
          <w:rFonts w:ascii="Times New Roman" w:eastAsia="Times New Roman" w:hAnsi="Times New Roman" w:cs="Times New Roman"/>
          <w:sz w:val="24"/>
          <w:szCs w:val="24"/>
        </w:rPr>
        <w:t xml:space="preserve">A </w:t>
      </w:r>
      <w:r w:rsidR="00805987" w:rsidRPr="009A37AC">
        <w:rPr>
          <w:rFonts w:ascii="Times New Roman" w:eastAsia="Times New Roman" w:hAnsi="Times New Roman" w:cs="Times New Roman"/>
          <w:sz w:val="24"/>
          <w:szCs w:val="24"/>
        </w:rPr>
        <w:t>twenty-two</w:t>
      </w:r>
      <w:r w:rsidR="00F51705">
        <w:rPr>
          <w:rFonts w:ascii="Times New Roman" w:eastAsia="Times New Roman" w:hAnsi="Times New Roman" w:cs="Times New Roman"/>
          <w:sz w:val="24"/>
          <w:szCs w:val="24"/>
        </w:rPr>
        <w:t xml:space="preserve"> item</w:t>
      </w:r>
      <w:r w:rsidR="00805987" w:rsidRPr="009A37AC">
        <w:rPr>
          <w:rFonts w:ascii="Times New Roman" w:eastAsia="Times New Roman" w:hAnsi="Times New Roman" w:cs="Times New Roman"/>
          <w:sz w:val="24"/>
          <w:szCs w:val="24"/>
        </w:rPr>
        <w:t xml:space="preserve"> </w:t>
      </w:r>
      <w:r w:rsidR="00F51705">
        <w:rPr>
          <w:rFonts w:ascii="Times New Roman" w:eastAsia="Times New Roman" w:hAnsi="Times New Roman" w:cs="Times New Roman"/>
          <w:sz w:val="24"/>
          <w:szCs w:val="24"/>
        </w:rPr>
        <w:t>multiple choice</w:t>
      </w:r>
      <w:r w:rsidR="00805987" w:rsidRPr="009A37AC">
        <w:rPr>
          <w:rFonts w:ascii="Times New Roman" w:eastAsia="Times New Roman" w:hAnsi="Times New Roman" w:cs="Times New Roman"/>
          <w:sz w:val="24"/>
          <w:szCs w:val="24"/>
        </w:rPr>
        <w:t xml:space="preserve"> survey was</w:t>
      </w:r>
      <w:r w:rsidR="00D07F92">
        <w:rPr>
          <w:rFonts w:ascii="Times New Roman" w:eastAsia="Times New Roman" w:hAnsi="Times New Roman" w:cs="Times New Roman"/>
          <w:sz w:val="24"/>
          <w:szCs w:val="24"/>
        </w:rPr>
        <w:t xml:space="preserve"> </w:t>
      </w:r>
      <w:r w:rsidR="00F51705">
        <w:rPr>
          <w:rFonts w:ascii="Times New Roman" w:eastAsia="Times New Roman" w:hAnsi="Times New Roman" w:cs="Times New Roman"/>
          <w:sz w:val="24"/>
          <w:szCs w:val="24"/>
        </w:rPr>
        <w:t xml:space="preserve">adapted from </w:t>
      </w:r>
      <w:r w:rsidR="00DE7ABC" w:rsidRPr="009A37AC">
        <w:rPr>
          <w:rFonts w:ascii="Times New Roman" w:eastAsia="Times New Roman" w:hAnsi="Times New Roman" w:cs="Times New Roman"/>
          <w:sz w:val="24"/>
          <w:szCs w:val="24"/>
        </w:rPr>
        <w:t>a pr</w:t>
      </w:r>
      <w:r w:rsidR="0008168B" w:rsidRPr="009A37AC">
        <w:rPr>
          <w:rFonts w:ascii="Times New Roman" w:eastAsia="Times New Roman" w:hAnsi="Times New Roman" w:cs="Times New Roman"/>
          <w:sz w:val="24"/>
          <w:szCs w:val="24"/>
        </w:rPr>
        <w:t>e</w:t>
      </w:r>
      <w:r w:rsidR="00DE7ABC" w:rsidRPr="009A37AC">
        <w:rPr>
          <w:rFonts w:ascii="Times New Roman" w:eastAsia="Times New Roman" w:hAnsi="Times New Roman" w:cs="Times New Roman"/>
          <w:sz w:val="24"/>
          <w:szCs w:val="24"/>
        </w:rPr>
        <w:t>vi</w:t>
      </w:r>
      <w:r w:rsidR="002B7573" w:rsidRPr="009A37AC">
        <w:rPr>
          <w:rFonts w:ascii="Times New Roman" w:eastAsia="Times New Roman" w:hAnsi="Times New Roman" w:cs="Times New Roman"/>
          <w:sz w:val="24"/>
          <w:szCs w:val="24"/>
        </w:rPr>
        <w:t>ous</w:t>
      </w:r>
      <w:r w:rsidR="00DC1D1F">
        <w:rPr>
          <w:rFonts w:ascii="Times New Roman" w:eastAsia="Times New Roman" w:hAnsi="Times New Roman" w:cs="Times New Roman"/>
          <w:sz w:val="24"/>
          <w:szCs w:val="24"/>
        </w:rPr>
        <w:t>ly validated</w:t>
      </w:r>
      <w:r w:rsidR="002B7573" w:rsidRPr="009A37AC">
        <w:rPr>
          <w:rFonts w:ascii="Times New Roman" w:eastAsia="Times New Roman" w:hAnsi="Times New Roman" w:cs="Times New Roman"/>
          <w:sz w:val="24"/>
          <w:szCs w:val="24"/>
        </w:rPr>
        <w:t xml:space="preserve"> survey instrument design,</w:t>
      </w:r>
      <w:r w:rsidR="006A3349" w:rsidRPr="009A37AC">
        <w:rPr>
          <w:rFonts w:ascii="Times New Roman" w:eastAsia="Times New Roman" w:hAnsi="Times New Roman" w:cs="Times New Roman"/>
          <w:sz w:val="24"/>
          <w:szCs w:val="24"/>
        </w:rPr>
        <w:t xml:space="preserve"> with permission from Dr. Edmond </w:t>
      </w:r>
      <w:proofErr w:type="gramStart"/>
      <w:r w:rsidR="006A3349" w:rsidRPr="009A37AC">
        <w:rPr>
          <w:rFonts w:ascii="Times New Roman" w:eastAsia="Times New Roman" w:hAnsi="Times New Roman" w:cs="Times New Roman"/>
          <w:sz w:val="24"/>
          <w:szCs w:val="24"/>
        </w:rPr>
        <w:t>Ghiabi</w:t>
      </w:r>
      <w:r w:rsidRPr="009A37AC">
        <w:rPr>
          <w:rFonts w:ascii="Times New Roman" w:eastAsia="Times New Roman" w:hAnsi="Times New Roman" w:cs="Times New Roman"/>
          <w:sz w:val="24"/>
          <w:szCs w:val="24"/>
        </w:rPr>
        <w:t>.</w:t>
      </w:r>
      <w:r w:rsidR="000F7B4C">
        <w:rPr>
          <w:rFonts w:ascii="Times New Roman" w:eastAsia="Times New Roman" w:hAnsi="Times New Roman" w:cs="Times New Roman"/>
          <w:sz w:val="24"/>
          <w:szCs w:val="24"/>
          <w:vertAlign w:val="superscript"/>
        </w:rPr>
        <w:t>15</w:t>
      </w:r>
      <w:r w:rsidR="001A395A">
        <w:rPr>
          <w:rFonts w:ascii="Times New Roman" w:eastAsia="Times New Roman" w:hAnsi="Times New Roman" w:cs="Times New Roman"/>
          <w:sz w:val="24"/>
          <w:szCs w:val="24"/>
        </w:rPr>
        <w:t xml:space="preserve">  </w:t>
      </w:r>
      <w:r w:rsidR="00300798" w:rsidRPr="009A37AC">
        <w:rPr>
          <w:rFonts w:ascii="Times New Roman" w:eastAsia="Times New Roman" w:hAnsi="Times New Roman" w:cs="Times New Roman"/>
          <w:sz w:val="24"/>
          <w:szCs w:val="24"/>
        </w:rPr>
        <w:t>The</w:t>
      </w:r>
      <w:proofErr w:type="gramEnd"/>
      <w:r w:rsidR="00300798" w:rsidRPr="009A37AC">
        <w:rPr>
          <w:rFonts w:ascii="Times New Roman" w:eastAsia="Times New Roman" w:hAnsi="Times New Roman" w:cs="Times New Roman"/>
          <w:sz w:val="24"/>
          <w:szCs w:val="24"/>
        </w:rPr>
        <w:t xml:space="preserve"> survey </w:t>
      </w:r>
      <w:r w:rsidR="00DC1D1F">
        <w:rPr>
          <w:rFonts w:ascii="Times New Roman" w:eastAsia="Times New Roman" w:hAnsi="Times New Roman" w:cs="Times New Roman"/>
          <w:sz w:val="24"/>
          <w:szCs w:val="24"/>
        </w:rPr>
        <w:t xml:space="preserve">questions were revised </w:t>
      </w:r>
      <w:r w:rsidRPr="009A37AC">
        <w:rPr>
          <w:rFonts w:ascii="Times New Roman" w:eastAsia="Times New Roman" w:hAnsi="Times New Roman" w:cs="Times New Roman"/>
          <w:sz w:val="24"/>
          <w:szCs w:val="24"/>
        </w:rPr>
        <w:t xml:space="preserve">with </w:t>
      </w:r>
      <w:r w:rsidR="00300798" w:rsidRPr="009A37AC">
        <w:rPr>
          <w:rFonts w:ascii="Times New Roman" w:eastAsia="Times New Roman" w:hAnsi="Times New Roman" w:cs="Times New Roman"/>
          <w:sz w:val="24"/>
          <w:szCs w:val="24"/>
        </w:rPr>
        <w:t xml:space="preserve">assistance from </w:t>
      </w:r>
      <w:r w:rsidRPr="009A37AC">
        <w:rPr>
          <w:rFonts w:ascii="Times New Roman" w:eastAsia="Times New Roman" w:hAnsi="Times New Roman" w:cs="Times New Roman"/>
          <w:sz w:val="24"/>
          <w:szCs w:val="24"/>
        </w:rPr>
        <w:t>dental hygiene educators</w:t>
      </w:r>
      <w:r w:rsidR="002B7573" w:rsidRPr="009A37AC">
        <w:rPr>
          <w:rFonts w:ascii="Times New Roman" w:eastAsia="Times New Roman" w:hAnsi="Times New Roman" w:cs="Times New Roman"/>
          <w:sz w:val="24"/>
          <w:szCs w:val="24"/>
        </w:rPr>
        <w:t xml:space="preserve">. </w:t>
      </w:r>
      <w:r w:rsidR="00300798" w:rsidRPr="009A37AC">
        <w:rPr>
          <w:rFonts w:ascii="Times New Roman" w:eastAsia="Times New Roman" w:hAnsi="Times New Roman" w:cs="Times New Roman"/>
          <w:sz w:val="24"/>
          <w:szCs w:val="24"/>
        </w:rPr>
        <w:t xml:space="preserve"> </w:t>
      </w:r>
    </w:p>
    <w:p w:rsidR="003B492A" w:rsidRPr="009A37AC" w:rsidRDefault="00300798" w:rsidP="00361C9F">
      <w:pPr>
        <w:spacing w:line="480" w:lineRule="auto"/>
        <w:ind w:firstLine="720"/>
        <w:contextualSpacing/>
        <w:rPr>
          <w:rFonts w:ascii="Times New Roman" w:eastAsia="Times New Roman" w:hAnsi="Times New Roman" w:cs="Times New Roman"/>
          <w:sz w:val="24"/>
          <w:szCs w:val="24"/>
        </w:rPr>
      </w:pPr>
      <w:r w:rsidRPr="009A37AC">
        <w:rPr>
          <w:rFonts w:ascii="Times New Roman" w:eastAsia="Times New Roman" w:hAnsi="Times New Roman" w:cs="Times New Roman"/>
          <w:sz w:val="24"/>
          <w:szCs w:val="24"/>
        </w:rPr>
        <w:t xml:space="preserve">The survey </w:t>
      </w:r>
      <w:r w:rsidR="0008168B" w:rsidRPr="009A37AC">
        <w:rPr>
          <w:rFonts w:ascii="Times New Roman" w:eastAsia="Times New Roman" w:hAnsi="Times New Roman" w:cs="Times New Roman"/>
          <w:sz w:val="24"/>
          <w:szCs w:val="24"/>
        </w:rPr>
        <w:t xml:space="preserve">instrument and an information letter </w:t>
      </w:r>
      <w:r w:rsidR="00F51705">
        <w:rPr>
          <w:rFonts w:ascii="Times New Roman" w:eastAsia="Times New Roman" w:hAnsi="Times New Roman" w:cs="Times New Roman"/>
          <w:sz w:val="24"/>
          <w:szCs w:val="24"/>
        </w:rPr>
        <w:t>explaining the</w:t>
      </w:r>
      <w:r w:rsidR="009A37AC" w:rsidRPr="009A37AC">
        <w:rPr>
          <w:rFonts w:ascii="Times New Roman" w:eastAsia="Times New Roman" w:hAnsi="Times New Roman" w:cs="Times New Roman"/>
          <w:sz w:val="24"/>
          <w:szCs w:val="24"/>
        </w:rPr>
        <w:t xml:space="preserve"> purpose</w:t>
      </w:r>
      <w:r w:rsidR="00F51705">
        <w:rPr>
          <w:rFonts w:ascii="Times New Roman" w:eastAsia="Times New Roman" w:hAnsi="Times New Roman" w:cs="Times New Roman"/>
          <w:sz w:val="24"/>
          <w:szCs w:val="24"/>
        </w:rPr>
        <w:t xml:space="preserve"> of the study</w:t>
      </w:r>
      <w:r w:rsidR="009A37AC" w:rsidRPr="009A37AC">
        <w:rPr>
          <w:rFonts w:ascii="Times New Roman" w:eastAsia="Times New Roman" w:hAnsi="Times New Roman" w:cs="Times New Roman"/>
          <w:sz w:val="24"/>
          <w:szCs w:val="24"/>
        </w:rPr>
        <w:t xml:space="preserve"> were emailed</w:t>
      </w:r>
      <w:r w:rsidRPr="009A37AC">
        <w:rPr>
          <w:rFonts w:ascii="Times New Roman" w:eastAsia="Times New Roman" w:hAnsi="Times New Roman" w:cs="Times New Roman"/>
          <w:sz w:val="24"/>
          <w:szCs w:val="24"/>
        </w:rPr>
        <w:t xml:space="preserve"> to a convenience sample of 354 Indiana dental hy</w:t>
      </w:r>
      <w:r w:rsidR="00F875FE">
        <w:rPr>
          <w:rFonts w:ascii="Times New Roman" w:eastAsia="Times New Roman" w:hAnsi="Times New Roman" w:cs="Times New Roman"/>
          <w:sz w:val="24"/>
          <w:szCs w:val="24"/>
        </w:rPr>
        <w:t xml:space="preserve">gienists who are members of the </w:t>
      </w:r>
      <w:r w:rsidRPr="009A37AC">
        <w:rPr>
          <w:rFonts w:ascii="Times New Roman" w:eastAsia="Times New Roman" w:hAnsi="Times New Roman" w:cs="Times New Roman"/>
          <w:sz w:val="24"/>
          <w:szCs w:val="24"/>
        </w:rPr>
        <w:t>American Dental Hygie</w:t>
      </w:r>
      <w:r w:rsidR="00E8492B">
        <w:rPr>
          <w:rFonts w:ascii="Times New Roman" w:eastAsia="Times New Roman" w:hAnsi="Times New Roman" w:cs="Times New Roman"/>
          <w:sz w:val="24"/>
          <w:szCs w:val="24"/>
        </w:rPr>
        <w:t xml:space="preserve">nists’ Association (ADHA).  </w:t>
      </w:r>
      <w:r w:rsidR="00F51705">
        <w:rPr>
          <w:rFonts w:ascii="Times New Roman" w:eastAsia="Times New Roman" w:hAnsi="Times New Roman" w:cs="Times New Roman"/>
          <w:sz w:val="24"/>
          <w:szCs w:val="24"/>
        </w:rPr>
        <w:t xml:space="preserve">Electronic </w:t>
      </w:r>
      <w:r w:rsidR="000F7B4C">
        <w:rPr>
          <w:rFonts w:ascii="Times New Roman" w:eastAsia="Times New Roman" w:hAnsi="Times New Roman" w:cs="Times New Roman"/>
          <w:sz w:val="24"/>
          <w:szCs w:val="24"/>
        </w:rPr>
        <w:t>addresses</w:t>
      </w:r>
      <w:r w:rsidRPr="009A37AC">
        <w:rPr>
          <w:rFonts w:ascii="Times New Roman" w:eastAsia="Times New Roman" w:hAnsi="Times New Roman" w:cs="Times New Roman"/>
          <w:sz w:val="24"/>
          <w:szCs w:val="24"/>
        </w:rPr>
        <w:t xml:space="preserve"> were obtained with </w:t>
      </w:r>
      <w:r w:rsidRPr="009A37AC">
        <w:rPr>
          <w:rFonts w:ascii="Times New Roman" w:eastAsia="Times New Roman" w:hAnsi="Times New Roman" w:cs="Times New Roman"/>
          <w:sz w:val="24"/>
          <w:szCs w:val="24"/>
        </w:rPr>
        <w:lastRenderedPageBreak/>
        <w:t xml:space="preserve">permission from the administrative board of the </w:t>
      </w:r>
      <w:r w:rsidR="001A395A">
        <w:rPr>
          <w:rFonts w:ascii="Times New Roman" w:eastAsia="Times New Roman" w:hAnsi="Times New Roman" w:cs="Times New Roman"/>
          <w:sz w:val="24"/>
          <w:szCs w:val="24"/>
        </w:rPr>
        <w:t>Indiana Dental Hygienists’ Association (</w:t>
      </w:r>
      <w:r w:rsidR="009A37AC" w:rsidRPr="009A37AC">
        <w:rPr>
          <w:rFonts w:ascii="Times New Roman" w:eastAsia="Times New Roman" w:hAnsi="Times New Roman" w:cs="Times New Roman"/>
          <w:sz w:val="24"/>
          <w:szCs w:val="24"/>
        </w:rPr>
        <w:t>IDHA</w:t>
      </w:r>
      <w:r w:rsidR="001A395A">
        <w:rPr>
          <w:rFonts w:ascii="Times New Roman" w:eastAsia="Times New Roman" w:hAnsi="Times New Roman" w:cs="Times New Roman"/>
          <w:sz w:val="24"/>
          <w:szCs w:val="24"/>
        </w:rPr>
        <w:t xml:space="preserve">).  All participants were informed their participation was voluntary and anonymous with no other incentives intended other than contributing to dental hygiene literature. The study was approved by the Institutional Review Board (IRB) of University of Texas Health Science Center, San Antonio (HSC20130189E). </w:t>
      </w:r>
    </w:p>
    <w:p w:rsidR="00426E46" w:rsidRDefault="00426E46" w:rsidP="00426E46">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was made available by anonymous link using </w:t>
      </w:r>
      <w:proofErr w:type="spellStart"/>
      <w:r>
        <w:rPr>
          <w:rFonts w:ascii="Times New Roman" w:eastAsia="Times New Roman" w:hAnsi="Times New Roman" w:cs="Times New Roman"/>
          <w:sz w:val="24"/>
          <w:szCs w:val="24"/>
        </w:rPr>
        <w:t>Qualtrics</w:t>
      </w:r>
      <w:proofErr w:type="spellEnd"/>
      <w:r>
        <w:rPr>
          <w:rFonts w:ascii="Times New Roman" w:eastAsia="Times New Roman" w:hAnsi="Times New Roman" w:cs="Times New Roman"/>
          <w:sz w:val="24"/>
          <w:szCs w:val="24"/>
        </w:rPr>
        <w:t>™, an online survey website engine, which provide</w:t>
      </w:r>
      <w:r w:rsidR="00D07F9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 anonymous Uniform Resou</w:t>
      </w:r>
      <w:r w:rsidR="000F7B4C">
        <w:rPr>
          <w:rFonts w:ascii="Times New Roman" w:eastAsia="Times New Roman" w:hAnsi="Times New Roman" w:cs="Times New Roman"/>
          <w:sz w:val="24"/>
          <w:szCs w:val="24"/>
        </w:rPr>
        <w:t>rce Locator (URL)</w:t>
      </w:r>
      <w:r>
        <w:rPr>
          <w:rFonts w:ascii="Times New Roman" w:eastAsia="Times New Roman" w:hAnsi="Times New Roman" w:cs="Times New Roman"/>
          <w:sz w:val="24"/>
          <w:szCs w:val="24"/>
        </w:rPr>
        <w:t>.</w:t>
      </w:r>
    </w:p>
    <w:p w:rsidR="003B492A" w:rsidRDefault="003B492A" w:rsidP="003B492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instrument URL and information letter explaining the purpose of</w:t>
      </w:r>
      <w:r w:rsidR="000F7B4C">
        <w:rPr>
          <w:rFonts w:ascii="Times New Roman" w:eastAsia="Times New Roman" w:hAnsi="Times New Roman" w:cs="Times New Roman"/>
          <w:sz w:val="24"/>
          <w:szCs w:val="24"/>
        </w:rPr>
        <w:t xml:space="preserve"> the survey were emailed to </w:t>
      </w:r>
      <w:r w:rsidR="001A395A">
        <w:rPr>
          <w:rFonts w:ascii="Times New Roman" w:eastAsia="Times New Roman" w:hAnsi="Times New Roman" w:cs="Times New Roman"/>
          <w:sz w:val="24"/>
          <w:szCs w:val="24"/>
        </w:rPr>
        <w:t>the participants</w:t>
      </w:r>
      <w:r>
        <w:rPr>
          <w:rFonts w:ascii="Times New Roman" w:eastAsia="Times New Roman" w:hAnsi="Times New Roman" w:cs="Times New Roman"/>
          <w:sz w:val="24"/>
          <w:szCs w:val="24"/>
        </w:rPr>
        <w:t xml:space="preserve">. Three additional reminder emails were sent </w:t>
      </w:r>
      <w:r w:rsidR="000F7B4C">
        <w:rPr>
          <w:rFonts w:ascii="Times New Roman" w:eastAsia="Times New Roman" w:hAnsi="Times New Roman" w:cs="Times New Roman"/>
          <w:sz w:val="24"/>
          <w:szCs w:val="24"/>
        </w:rPr>
        <w:t>to participants</w:t>
      </w:r>
      <w:r>
        <w:rPr>
          <w:rFonts w:ascii="Times New Roman" w:eastAsia="Times New Roman" w:hAnsi="Times New Roman" w:cs="Times New Roman"/>
          <w:sz w:val="24"/>
          <w:szCs w:val="24"/>
        </w:rPr>
        <w:t xml:space="preserve">. </w:t>
      </w:r>
      <w:r w:rsidR="00426E46">
        <w:rPr>
          <w:rFonts w:ascii="Times New Roman" w:eastAsia="Times New Roman" w:hAnsi="Times New Roman" w:cs="Times New Roman"/>
          <w:sz w:val="24"/>
          <w:szCs w:val="24"/>
        </w:rPr>
        <w:t>The survey remained open and</w:t>
      </w:r>
      <w:r w:rsidR="001A395A">
        <w:rPr>
          <w:rFonts w:ascii="Times New Roman" w:eastAsia="Times New Roman" w:hAnsi="Times New Roman" w:cs="Times New Roman"/>
          <w:sz w:val="24"/>
          <w:szCs w:val="24"/>
        </w:rPr>
        <w:t xml:space="preserve"> available </w:t>
      </w:r>
      <w:r w:rsidR="000F7B4C">
        <w:rPr>
          <w:rFonts w:ascii="Times New Roman" w:eastAsia="Times New Roman" w:hAnsi="Times New Roman" w:cs="Times New Roman"/>
          <w:sz w:val="24"/>
          <w:szCs w:val="24"/>
        </w:rPr>
        <w:t>for</w:t>
      </w:r>
      <w:r w:rsidR="00426E46">
        <w:rPr>
          <w:rFonts w:ascii="Times New Roman" w:eastAsia="Times New Roman" w:hAnsi="Times New Roman" w:cs="Times New Roman"/>
          <w:sz w:val="24"/>
          <w:szCs w:val="24"/>
        </w:rPr>
        <w:t xml:space="preserve"> three weeks. </w:t>
      </w:r>
      <w:r w:rsidR="00D07F92">
        <w:rPr>
          <w:rFonts w:ascii="Times New Roman" w:eastAsia="Times New Roman" w:hAnsi="Times New Roman" w:cs="Times New Roman"/>
          <w:sz w:val="24"/>
          <w:szCs w:val="24"/>
        </w:rPr>
        <w:t>The data collected were</w:t>
      </w:r>
      <w:r>
        <w:rPr>
          <w:rFonts w:ascii="Times New Roman" w:eastAsia="Times New Roman" w:hAnsi="Times New Roman" w:cs="Times New Roman"/>
          <w:sz w:val="24"/>
          <w:szCs w:val="24"/>
        </w:rPr>
        <w:t xml:space="preserve"> coded and analyzed </w:t>
      </w:r>
      <w:r w:rsidR="00C358FF">
        <w:rPr>
          <w:rFonts w:ascii="Times New Roman" w:eastAsia="Times New Roman" w:hAnsi="Times New Roman" w:cs="Times New Roman"/>
          <w:sz w:val="24"/>
          <w:szCs w:val="24"/>
        </w:rPr>
        <w:t xml:space="preserve">using descriptive and inferential statistics </w:t>
      </w:r>
      <w:r>
        <w:rPr>
          <w:rFonts w:ascii="Times New Roman" w:eastAsia="Times New Roman" w:hAnsi="Times New Roman" w:cs="Times New Roman"/>
          <w:sz w:val="24"/>
          <w:szCs w:val="24"/>
        </w:rPr>
        <w:t>to show correlations among the variables.</w:t>
      </w:r>
    </w:p>
    <w:p w:rsidR="00C32599" w:rsidRPr="00AF5E8A" w:rsidRDefault="00C32599" w:rsidP="00361C9F">
      <w:pPr>
        <w:spacing w:line="480" w:lineRule="auto"/>
        <w:contextualSpacing/>
        <w:rPr>
          <w:rFonts w:ascii="Times New Roman" w:eastAsia="Times New Roman" w:hAnsi="Times New Roman" w:cs="Times New Roman"/>
          <w:b/>
          <w:sz w:val="24"/>
          <w:szCs w:val="24"/>
        </w:rPr>
      </w:pPr>
      <w:r w:rsidRPr="00AF5E8A">
        <w:rPr>
          <w:rFonts w:ascii="Times New Roman" w:eastAsia="Times New Roman" w:hAnsi="Times New Roman" w:cs="Times New Roman"/>
          <w:b/>
          <w:sz w:val="24"/>
          <w:szCs w:val="24"/>
        </w:rPr>
        <w:t>RESULTS</w:t>
      </w:r>
    </w:p>
    <w:p w:rsidR="008800CD" w:rsidRDefault="00D111DE" w:rsidP="006A669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hundred thirteen (113) </w:t>
      </w:r>
      <w:r w:rsidR="00D07F92">
        <w:rPr>
          <w:rFonts w:ascii="Times New Roman" w:eastAsia="Times New Roman" w:hAnsi="Times New Roman" w:cs="Times New Roman"/>
          <w:sz w:val="24"/>
          <w:szCs w:val="24"/>
        </w:rPr>
        <w:t>surveys were returned resulting in a 31.9% response rate</w:t>
      </w:r>
      <w:r w:rsidR="00AF3DDF">
        <w:rPr>
          <w:rFonts w:ascii="Times New Roman" w:eastAsia="Times New Roman" w:hAnsi="Times New Roman" w:cs="Times New Roman"/>
          <w:sz w:val="24"/>
          <w:szCs w:val="24"/>
        </w:rPr>
        <w:t xml:space="preserve">.  </w:t>
      </w:r>
      <w:r w:rsidR="00D07F92">
        <w:rPr>
          <w:rFonts w:ascii="Times New Roman" w:eastAsia="Times New Roman" w:hAnsi="Times New Roman" w:cs="Times New Roman"/>
          <w:sz w:val="24"/>
          <w:szCs w:val="24"/>
        </w:rPr>
        <w:t xml:space="preserve">Participants’ </w:t>
      </w:r>
      <w:r w:rsidR="008C1387">
        <w:rPr>
          <w:rFonts w:ascii="Times New Roman" w:eastAsia="Times New Roman" w:hAnsi="Times New Roman" w:cs="Times New Roman"/>
          <w:sz w:val="24"/>
          <w:szCs w:val="24"/>
        </w:rPr>
        <w:t>demographic information is summa</w:t>
      </w:r>
      <w:r w:rsidR="00E8492B">
        <w:rPr>
          <w:rFonts w:ascii="Times New Roman" w:eastAsia="Times New Roman" w:hAnsi="Times New Roman" w:cs="Times New Roman"/>
          <w:sz w:val="24"/>
          <w:szCs w:val="24"/>
        </w:rPr>
        <w:t xml:space="preserve">rized in Table 1.  </w:t>
      </w:r>
      <w:r w:rsidR="00B564B4">
        <w:rPr>
          <w:rFonts w:ascii="Times New Roman" w:eastAsia="Times New Roman" w:hAnsi="Times New Roman" w:cs="Times New Roman"/>
          <w:sz w:val="24"/>
          <w:szCs w:val="24"/>
        </w:rPr>
        <w:t xml:space="preserve">The majority of </w:t>
      </w:r>
      <w:r w:rsidR="00C358FF">
        <w:rPr>
          <w:rFonts w:ascii="Times New Roman" w:eastAsia="Times New Roman" w:hAnsi="Times New Roman" w:cs="Times New Roman"/>
          <w:sz w:val="24"/>
          <w:szCs w:val="24"/>
        </w:rPr>
        <w:t>respondents were</w:t>
      </w:r>
      <w:r w:rsidR="00D07F92">
        <w:rPr>
          <w:rFonts w:ascii="Times New Roman" w:eastAsia="Times New Roman" w:hAnsi="Times New Roman" w:cs="Times New Roman"/>
          <w:sz w:val="24"/>
          <w:szCs w:val="24"/>
        </w:rPr>
        <w:t xml:space="preserve"> full-time permanent employees who have been </w:t>
      </w:r>
      <w:r w:rsidR="00B564B4">
        <w:rPr>
          <w:rFonts w:ascii="Times New Roman" w:eastAsia="Times New Roman" w:hAnsi="Times New Roman" w:cs="Times New Roman"/>
          <w:sz w:val="24"/>
          <w:szCs w:val="24"/>
        </w:rPr>
        <w:t>practici</w:t>
      </w:r>
      <w:r w:rsidR="00D07F92">
        <w:rPr>
          <w:rFonts w:ascii="Times New Roman" w:eastAsia="Times New Roman" w:hAnsi="Times New Roman" w:cs="Times New Roman"/>
          <w:sz w:val="24"/>
          <w:szCs w:val="24"/>
        </w:rPr>
        <w:t xml:space="preserve">ng dental hygiene for 1-9 years, </w:t>
      </w:r>
      <w:r w:rsidR="00B564B4">
        <w:rPr>
          <w:rFonts w:ascii="Times New Roman" w:eastAsia="Times New Roman" w:hAnsi="Times New Roman" w:cs="Times New Roman"/>
          <w:sz w:val="24"/>
          <w:szCs w:val="24"/>
        </w:rPr>
        <w:t>primar</w:t>
      </w:r>
      <w:r w:rsidR="00D07F92">
        <w:rPr>
          <w:rFonts w:ascii="Times New Roman" w:eastAsia="Times New Roman" w:hAnsi="Times New Roman" w:cs="Times New Roman"/>
          <w:sz w:val="24"/>
          <w:szCs w:val="24"/>
        </w:rPr>
        <w:t xml:space="preserve">ily in one office.  </w:t>
      </w:r>
      <w:r w:rsidR="001E537E">
        <w:rPr>
          <w:rFonts w:ascii="Times New Roman" w:eastAsia="Times New Roman" w:hAnsi="Times New Roman" w:cs="Times New Roman"/>
          <w:sz w:val="24"/>
          <w:szCs w:val="24"/>
        </w:rPr>
        <w:t xml:space="preserve">Education level of associate degree hygienists was reported at 37.5%, baccalaureate at 46.4%, master at 15.2%, and doctorate at .9%. </w:t>
      </w:r>
      <w:r w:rsidR="00D07F92">
        <w:rPr>
          <w:rFonts w:ascii="Times New Roman" w:eastAsia="Times New Roman" w:hAnsi="Times New Roman" w:cs="Times New Roman"/>
          <w:sz w:val="24"/>
          <w:szCs w:val="24"/>
        </w:rPr>
        <w:t xml:space="preserve"> </w:t>
      </w:r>
    </w:p>
    <w:p w:rsidR="00517252" w:rsidRDefault="004B620D" w:rsidP="00E12825">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were asked </w:t>
      </w:r>
      <w:r w:rsidR="00D97839">
        <w:rPr>
          <w:rFonts w:ascii="Times New Roman" w:eastAsia="Times New Roman" w:hAnsi="Times New Roman" w:cs="Times New Roman"/>
          <w:sz w:val="24"/>
          <w:szCs w:val="24"/>
        </w:rPr>
        <w:t>to note</w:t>
      </w:r>
      <w:r w:rsidR="0051725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periodontal assessment procedures they perform for adult recall patients. Procedures included</w:t>
      </w:r>
      <w:r w:rsidR="00517252">
        <w:rPr>
          <w:rFonts w:ascii="Times New Roman" w:eastAsia="Times New Roman" w:hAnsi="Times New Roman" w:cs="Times New Roman"/>
          <w:sz w:val="24"/>
          <w:szCs w:val="24"/>
        </w:rPr>
        <w:t xml:space="preserve">: </w:t>
      </w:r>
    </w:p>
    <w:p w:rsidR="00517252" w:rsidRDefault="00517252" w:rsidP="00517252">
      <w:pPr>
        <w:pStyle w:val="ListParagraph"/>
        <w:numPr>
          <w:ilvl w:val="0"/>
          <w:numId w:val="1"/>
        </w:numPr>
        <w:spacing w:line="480" w:lineRule="auto"/>
        <w:rPr>
          <w:rFonts w:ascii="Times New Roman" w:eastAsia="Times New Roman" w:hAnsi="Times New Roman" w:cs="Times New Roman"/>
          <w:sz w:val="24"/>
          <w:szCs w:val="24"/>
        </w:rPr>
      </w:pPr>
      <w:r w:rsidRPr="00517252">
        <w:rPr>
          <w:rFonts w:ascii="Times New Roman" w:eastAsia="Times New Roman" w:hAnsi="Times New Roman" w:cs="Times New Roman"/>
          <w:sz w:val="24"/>
          <w:szCs w:val="24"/>
        </w:rPr>
        <w:t>take radiographs</w:t>
      </w:r>
    </w:p>
    <w:p w:rsidR="00517252" w:rsidRDefault="00517252" w:rsidP="00517252">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periodontal probing</w:t>
      </w:r>
    </w:p>
    <w:p w:rsidR="00517252" w:rsidRDefault="00517252" w:rsidP="00517252">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and record clinical attachment loss</w:t>
      </w:r>
    </w:p>
    <w:p w:rsidR="00517252" w:rsidRDefault="00517252" w:rsidP="00517252">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recession</w:t>
      </w:r>
    </w:p>
    <w:p w:rsidR="00517252" w:rsidRDefault="00517252" w:rsidP="00517252">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perform </w:t>
      </w:r>
      <w:proofErr w:type="spellStart"/>
      <w:r>
        <w:rPr>
          <w:rFonts w:ascii="Times New Roman" w:eastAsia="Times New Roman" w:hAnsi="Times New Roman" w:cs="Times New Roman"/>
          <w:sz w:val="24"/>
          <w:szCs w:val="24"/>
        </w:rPr>
        <w:t>extraoral</w:t>
      </w:r>
      <w:proofErr w:type="spellEnd"/>
      <w:r>
        <w:rPr>
          <w:rFonts w:ascii="Times New Roman" w:eastAsia="Times New Roman" w:hAnsi="Times New Roman" w:cs="Times New Roman"/>
          <w:sz w:val="24"/>
          <w:szCs w:val="24"/>
        </w:rPr>
        <w:t xml:space="preserve"> and intraoral evaluations</w:t>
      </w:r>
    </w:p>
    <w:p w:rsidR="00517252" w:rsidRDefault="00517252" w:rsidP="00517252">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a thorough </w:t>
      </w:r>
      <w:proofErr w:type="spellStart"/>
      <w:r>
        <w:rPr>
          <w:rFonts w:ascii="Times New Roman" w:eastAsia="Times New Roman" w:hAnsi="Times New Roman" w:cs="Times New Roman"/>
          <w:sz w:val="24"/>
          <w:szCs w:val="24"/>
        </w:rPr>
        <w:t>occlusal</w:t>
      </w:r>
      <w:proofErr w:type="spellEnd"/>
      <w:r>
        <w:rPr>
          <w:rFonts w:ascii="Times New Roman" w:eastAsia="Times New Roman" w:hAnsi="Times New Roman" w:cs="Times New Roman"/>
          <w:sz w:val="24"/>
          <w:szCs w:val="24"/>
        </w:rPr>
        <w:t xml:space="preserve"> evaluation</w:t>
      </w:r>
    </w:p>
    <w:p w:rsidR="00517252" w:rsidRDefault="00517252" w:rsidP="00517252">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presence, degree, and distribution of plaque and calculus</w:t>
      </w:r>
    </w:p>
    <w:p w:rsidR="00517252" w:rsidRDefault="00517252" w:rsidP="00517252">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gingival inflammation</w:t>
      </w:r>
      <w:r w:rsidR="00D97839">
        <w:rPr>
          <w:rFonts w:ascii="Times New Roman" w:eastAsia="Times New Roman" w:hAnsi="Times New Roman" w:cs="Times New Roman"/>
          <w:sz w:val="24"/>
          <w:szCs w:val="24"/>
        </w:rPr>
        <w:t xml:space="preserve"> and, </w:t>
      </w:r>
    </w:p>
    <w:p w:rsidR="00517252" w:rsidRDefault="00517252" w:rsidP="00517252">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probe six sites per tooth</w:t>
      </w:r>
    </w:p>
    <w:p w:rsidR="00E12825" w:rsidRDefault="00E12825" w:rsidP="0051725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Frequ</w:t>
      </w:r>
      <w:r w:rsidR="00AC3A01">
        <w:rPr>
          <w:rFonts w:ascii="Times New Roman" w:eastAsia="Times New Roman" w:hAnsi="Times New Roman" w:cs="Times New Roman"/>
          <w:sz w:val="24"/>
          <w:szCs w:val="24"/>
        </w:rPr>
        <w:t>encies are summarized in Graph 1</w:t>
      </w:r>
      <w:r>
        <w:rPr>
          <w:rFonts w:ascii="Times New Roman" w:eastAsia="Times New Roman" w:hAnsi="Times New Roman" w:cs="Times New Roman"/>
          <w:sz w:val="24"/>
          <w:szCs w:val="24"/>
        </w:rPr>
        <w:t xml:space="preserve">. </w:t>
      </w:r>
    </w:p>
    <w:p w:rsidR="00934321" w:rsidRDefault="00D23D84" w:rsidP="00934321">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7252">
        <w:rPr>
          <w:rFonts w:ascii="Times New Roman" w:eastAsia="Times New Roman" w:hAnsi="Times New Roman" w:cs="Times New Roman"/>
          <w:sz w:val="24"/>
          <w:szCs w:val="24"/>
        </w:rPr>
        <w:t xml:space="preserve">Participants were </w:t>
      </w:r>
      <w:r w:rsidR="00D97839">
        <w:rPr>
          <w:rFonts w:ascii="Times New Roman" w:eastAsia="Times New Roman" w:hAnsi="Times New Roman" w:cs="Times New Roman"/>
          <w:sz w:val="24"/>
          <w:szCs w:val="24"/>
        </w:rPr>
        <w:t xml:space="preserve">also </w:t>
      </w:r>
      <w:r w:rsidR="00517252">
        <w:rPr>
          <w:rFonts w:ascii="Times New Roman" w:eastAsia="Times New Roman" w:hAnsi="Times New Roman" w:cs="Times New Roman"/>
          <w:sz w:val="24"/>
          <w:szCs w:val="24"/>
        </w:rPr>
        <w:t>asked</w:t>
      </w:r>
      <w:r w:rsidR="00C358FF">
        <w:rPr>
          <w:rFonts w:ascii="Times New Roman" w:eastAsia="Times New Roman" w:hAnsi="Times New Roman" w:cs="Times New Roman"/>
          <w:sz w:val="24"/>
          <w:szCs w:val="24"/>
        </w:rPr>
        <w:t xml:space="preserve"> how often</w:t>
      </w:r>
      <w:r w:rsidR="00517252">
        <w:rPr>
          <w:rFonts w:ascii="Times New Roman" w:eastAsia="Times New Roman" w:hAnsi="Times New Roman" w:cs="Times New Roman"/>
          <w:sz w:val="24"/>
          <w:szCs w:val="24"/>
        </w:rPr>
        <w:t xml:space="preserve"> they assessed </w:t>
      </w:r>
      <w:r w:rsidR="000F1E24">
        <w:rPr>
          <w:rFonts w:ascii="Times New Roman" w:eastAsia="Times New Roman" w:hAnsi="Times New Roman" w:cs="Times New Roman"/>
          <w:sz w:val="24"/>
          <w:szCs w:val="24"/>
        </w:rPr>
        <w:t xml:space="preserve">patient-associated risk </w:t>
      </w:r>
      <w:r w:rsidR="00517252">
        <w:rPr>
          <w:rFonts w:ascii="Times New Roman" w:eastAsia="Times New Roman" w:hAnsi="Times New Roman" w:cs="Times New Roman"/>
          <w:sz w:val="24"/>
          <w:szCs w:val="24"/>
        </w:rPr>
        <w:t xml:space="preserve">factors for periodontal disease. These included: </w:t>
      </w:r>
      <w:r w:rsidR="000F1E24">
        <w:rPr>
          <w:rFonts w:ascii="Times New Roman" w:eastAsia="Times New Roman" w:hAnsi="Times New Roman" w:cs="Times New Roman"/>
          <w:sz w:val="24"/>
          <w:szCs w:val="24"/>
        </w:rPr>
        <w:t>patient’s age, smoking habits, and other chronic systemic conditions associated w</w:t>
      </w:r>
      <w:r w:rsidR="00EA5B37">
        <w:rPr>
          <w:rFonts w:ascii="Times New Roman" w:eastAsia="Times New Roman" w:hAnsi="Times New Roman" w:cs="Times New Roman"/>
          <w:sz w:val="24"/>
          <w:szCs w:val="24"/>
        </w:rPr>
        <w:t xml:space="preserve">ith periodontal disease (Table </w:t>
      </w:r>
      <w:r w:rsidR="00AC3A01">
        <w:rPr>
          <w:rFonts w:ascii="Times New Roman" w:eastAsia="Times New Roman" w:hAnsi="Times New Roman" w:cs="Times New Roman"/>
          <w:sz w:val="24"/>
          <w:szCs w:val="24"/>
        </w:rPr>
        <w:t>2</w:t>
      </w:r>
      <w:r w:rsidR="000F1E24">
        <w:rPr>
          <w:rFonts w:ascii="Times New Roman" w:eastAsia="Times New Roman" w:hAnsi="Times New Roman" w:cs="Times New Roman"/>
          <w:sz w:val="24"/>
          <w:szCs w:val="24"/>
        </w:rPr>
        <w:t>).</w:t>
      </w:r>
      <w:r w:rsidR="00EA5B37">
        <w:rPr>
          <w:rFonts w:ascii="Times New Roman" w:eastAsia="Times New Roman" w:hAnsi="Times New Roman" w:cs="Times New Roman"/>
          <w:sz w:val="24"/>
          <w:szCs w:val="24"/>
        </w:rPr>
        <w:t xml:space="preserve">  </w:t>
      </w:r>
      <w:r w:rsidR="00517252">
        <w:rPr>
          <w:rFonts w:ascii="Times New Roman" w:eastAsia="Times New Roman" w:hAnsi="Times New Roman" w:cs="Times New Roman"/>
          <w:sz w:val="24"/>
          <w:szCs w:val="24"/>
        </w:rPr>
        <w:t xml:space="preserve">The </w:t>
      </w:r>
      <w:r w:rsidR="00D97839">
        <w:rPr>
          <w:rFonts w:ascii="Times New Roman" w:eastAsia="Times New Roman" w:hAnsi="Times New Roman" w:cs="Times New Roman"/>
          <w:sz w:val="24"/>
          <w:szCs w:val="24"/>
        </w:rPr>
        <w:t xml:space="preserve">majority of respondents </w:t>
      </w:r>
      <w:r w:rsidR="002B5507">
        <w:rPr>
          <w:rFonts w:ascii="Times New Roman" w:eastAsia="Times New Roman" w:hAnsi="Times New Roman" w:cs="Times New Roman"/>
          <w:sz w:val="24"/>
          <w:szCs w:val="24"/>
        </w:rPr>
        <w:t xml:space="preserve">either frequently or always </w:t>
      </w:r>
      <w:r w:rsidR="00D97839">
        <w:rPr>
          <w:rFonts w:ascii="Times New Roman" w:eastAsia="Times New Roman" w:hAnsi="Times New Roman" w:cs="Times New Roman"/>
          <w:sz w:val="24"/>
          <w:szCs w:val="24"/>
        </w:rPr>
        <w:t xml:space="preserve">assessed the following:  </w:t>
      </w:r>
      <w:r w:rsidR="000F1E24">
        <w:rPr>
          <w:rFonts w:ascii="Times New Roman" w:eastAsia="Times New Roman" w:hAnsi="Times New Roman" w:cs="Times New Roman"/>
          <w:sz w:val="24"/>
          <w:szCs w:val="24"/>
        </w:rPr>
        <w:t>patient’s age</w:t>
      </w:r>
      <w:r w:rsidR="00D97839">
        <w:rPr>
          <w:rFonts w:ascii="Times New Roman" w:eastAsia="Times New Roman" w:hAnsi="Times New Roman" w:cs="Times New Roman"/>
          <w:sz w:val="24"/>
          <w:szCs w:val="24"/>
        </w:rPr>
        <w:t>-</w:t>
      </w:r>
      <w:r w:rsidR="00F875FE">
        <w:rPr>
          <w:rFonts w:ascii="Times New Roman" w:eastAsia="Times New Roman" w:hAnsi="Times New Roman" w:cs="Times New Roman"/>
          <w:sz w:val="24"/>
          <w:szCs w:val="24"/>
        </w:rPr>
        <w:t xml:space="preserve"> </w:t>
      </w:r>
      <w:r w:rsidR="00D97839">
        <w:rPr>
          <w:rFonts w:ascii="Times New Roman" w:eastAsia="Times New Roman" w:hAnsi="Times New Roman" w:cs="Times New Roman"/>
          <w:sz w:val="24"/>
          <w:szCs w:val="24"/>
        </w:rPr>
        <w:t>74.1%, smoking habits-</w:t>
      </w:r>
      <w:r w:rsidR="00F875FE">
        <w:rPr>
          <w:rFonts w:ascii="Times New Roman" w:eastAsia="Times New Roman" w:hAnsi="Times New Roman" w:cs="Times New Roman"/>
          <w:sz w:val="24"/>
          <w:szCs w:val="24"/>
        </w:rPr>
        <w:t xml:space="preserve"> </w:t>
      </w:r>
      <w:r w:rsidR="00D97839">
        <w:rPr>
          <w:rFonts w:ascii="Times New Roman" w:eastAsia="Times New Roman" w:hAnsi="Times New Roman" w:cs="Times New Roman"/>
          <w:sz w:val="24"/>
          <w:szCs w:val="24"/>
        </w:rPr>
        <w:t>88.9%, and other chronic systemic conditions associated with periodontal disease--</w:t>
      </w:r>
      <w:r w:rsidR="00EA5B37">
        <w:rPr>
          <w:rFonts w:ascii="Times New Roman" w:eastAsia="Times New Roman" w:hAnsi="Times New Roman" w:cs="Times New Roman"/>
          <w:sz w:val="24"/>
          <w:szCs w:val="24"/>
        </w:rPr>
        <w:t>85.2%</w:t>
      </w:r>
      <w:r w:rsidR="00D97839">
        <w:rPr>
          <w:rFonts w:ascii="Times New Roman" w:eastAsia="Times New Roman" w:hAnsi="Times New Roman" w:cs="Times New Roman"/>
          <w:sz w:val="24"/>
          <w:szCs w:val="24"/>
        </w:rPr>
        <w:t>.</w:t>
      </w:r>
      <w:r w:rsidR="00934321">
        <w:rPr>
          <w:rFonts w:ascii="Times New Roman" w:eastAsia="Times New Roman" w:hAnsi="Times New Roman" w:cs="Times New Roman"/>
          <w:sz w:val="24"/>
          <w:szCs w:val="24"/>
        </w:rPr>
        <w:t xml:space="preserve"> </w:t>
      </w:r>
    </w:p>
    <w:p w:rsidR="000F1E24" w:rsidRDefault="00C358FF" w:rsidP="00934321">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participants responded to the following</w:t>
      </w:r>
      <w:r w:rsidR="00934321">
        <w:rPr>
          <w:rFonts w:ascii="Times New Roman" w:eastAsia="Times New Roman" w:hAnsi="Times New Roman" w:cs="Times New Roman"/>
          <w:sz w:val="24"/>
          <w:szCs w:val="24"/>
        </w:rPr>
        <w:t>, “I am aware of the parameters of the comprehensive periodontal assessment as</w:t>
      </w:r>
      <w:r w:rsidR="003110A9">
        <w:rPr>
          <w:rFonts w:ascii="Times New Roman" w:eastAsia="Times New Roman" w:hAnsi="Times New Roman" w:cs="Times New Roman"/>
          <w:sz w:val="24"/>
          <w:szCs w:val="24"/>
        </w:rPr>
        <w:t xml:space="preserve"> recommended</w:t>
      </w:r>
      <w:r w:rsidR="009664EA">
        <w:rPr>
          <w:rFonts w:ascii="Times New Roman" w:eastAsia="Times New Roman" w:hAnsi="Times New Roman" w:cs="Times New Roman"/>
          <w:sz w:val="24"/>
          <w:szCs w:val="24"/>
        </w:rPr>
        <w:t xml:space="preserve"> by the AAP”, </w:t>
      </w:r>
      <w:r w:rsidR="001028DF">
        <w:rPr>
          <w:rFonts w:ascii="Times New Roman" w:eastAsia="Times New Roman" w:hAnsi="Times New Roman" w:cs="Times New Roman"/>
          <w:sz w:val="24"/>
          <w:szCs w:val="24"/>
        </w:rPr>
        <w:t xml:space="preserve">78.5% either agreed or strongly agreed 15.9 % neither agreed or disagreed, and </w:t>
      </w:r>
      <w:r w:rsidR="009664EA">
        <w:rPr>
          <w:rFonts w:ascii="Times New Roman" w:eastAsia="Times New Roman" w:hAnsi="Times New Roman" w:cs="Times New Roman"/>
          <w:sz w:val="24"/>
          <w:szCs w:val="24"/>
        </w:rPr>
        <w:t>5.6 % either s</w:t>
      </w:r>
      <w:r w:rsidR="001028DF">
        <w:rPr>
          <w:rFonts w:ascii="Times New Roman" w:eastAsia="Times New Roman" w:hAnsi="Times New Roman" w:cs="Times New Roman"/>
          <w:sz w:val="24"/>
          <w:szCs w:val="24"/>
        </w:rPr>
        <w:t xml:space="preserve">trongly disagreed or disagreed.  </w:t>
      </w:r>
      <w:r w:rsidR="009664EA">
        <w:rPr>
          <w:rFonts w:ascii="Times New Roman" w:eastAsia="Times New Roman" w:hAnsi="Times New Roman" w:cs="Times New Roman"/>
          <w:sz w:val="24"/>
          <w:szCs w:val="24"/>
        </w:rPr>
        <w:t xml:space="preserve">  Participants were also asked</w:t>
      </w:r>
      <w:r w:rsidR="00934321">
        <w:rPr>
          <w:rFonts w:ascii="Times New Roman" w:eastAsia="Times New Roman" w:hAnsi="Times New Roman" w:cs="Times New Roman"/>
          <w:sz w:val="24"/>
          <w:szCs w:val="24"/>
        </w:rPr>
        <w:t xml:space="preserve"> if they performed the periodon</w:t>
      </w:r>
      <w:r w:rsidR="003110A9">
        <w:rPr>
          <w:rFonts w:ascii="Times New Roman" w:eastAsia="Times New Roman" w:hAnsi="Times New Roman" w:cs="Times New Roman"/>
          <w:sz w:val="24"/>
          <w:szCs w:val="24"/>
        </w:rPr>
        <w:t>tal assessment procedures recommended by the AAP</w:t>
      </w:r>
      <w:r w:rsidR="00F875FE">
        <w:rPr>
          <w:rFonts w:ascii="Times New Roman" w:eastAsia="Times New Roman" w:hAnsi="Times New Roman" w:cs="Times New Roman"/>
          <w:sz w:val="24"/>
          <w:szCs w:val="24"/>
        </w:rPr>
        <w:t xml:space="preserve">—64.1% either agreed or strongly agreed, 25.2% neither agreed nor disagreed, and </w:t>
      </w:r>
      <w:r w:rsidR="009664EA">
        <w:rPr>
          <w:rFonts w:ascii="Times New Roman" w:eastAsia="Times New Roman" w:hAnsi="Times New Roman" w:cs="Times New Roman"/>
          <w:sz w:val="24"/>
          <w:szCs w:val="24"/>
        </w:rPr>
        <w:t>10.7% either s</w:t>
      </w:r>
      <w:r w:rsidR="00F875FE">
        <w:rPr>
          <w:rFonts w:ascii="Times New Roman" w:eastAsia="Times New Roman" w:hAnsi="Times New Roman" w:cs="Times New Roman"/>
          <w:sz w:val="24"/>
          <w:szCs w:val="24"/>
        </w:rPr>
        <w:t xml:space="preserve">trongly disagreed or disagreed </w:t>
      </w:r>
      <w:r w:rsidR="00AE7B36">
        <w:rPr>
          <w:rFonts w:ascii="Times New Roman" w:eastAsia="Times New Roman" w:hAnsi="Times New Roman" w:cs="Times New Roman"/>
          <w:sz w:val="24"/>
          <w:szCs w:val="24"/>
        </w:rPr>
        <w:t>(Graph 2</w:t>
      </w:r>
      <w:r w:rsidR="00DD3FCC">
        <w:rPr>
          <w:rFonts w:ascii="Times New Roman" w:eastAsia="Times New Roman" w:hAnsi="Times New Roman" w:cs="Times New Roman"/>
          <w:sz w:val="24"/>
          <w:szCs w:val="24"/>
        </w:rPr>
        <w:t xml:space="preserve">). </w:t>
      </w:r>
    </w:p>
    <w:p w:rsidR="00934321" w:rsidRDefault="003110A9" w:rsidP="00934321">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analyzing participants’</w:t>
      </w:r>
      <w:r w:rsidR="00934321">
        <w:rPr>
          <w:rFonts w:ascii="Times New Roman" w:eastAsia="Times New Roman" w:hAnsi="Times New Roman" w:cs="Times New Roman"/>
          <w:sz w:val="24"/>
          <w:szCs w:val="24"/>
        </w:rPr>
        <w:t xml:space="preserve"> response</w:t>
      </w:r>
      <w:r w:rsidR="00F875FE">
        <w:rPr>
          <w:rFonts w:ascii="Times New Roman" w:eastAsia="Times New Roman" w:hAnsi="Times New Roman" w:cs="Times New Roman"/>
          <w:sz w:val="24"/>
          <w:szCs w:val="24"/>
        </w:rPr>
        <w:t>s to the surveys</w:t>
      </w:r>
      <w:r>
        <w:rPr>
          <w:rFonts w:ascii="Times New Roman" w:eastAsia="Times New Roman" w:hAnsi="Times New Roman" w:cs="Times New Roman"/>
          <w:sz w:val="24"/>
          <w:szCs w:val="24"/>
        </w:rPr>
        <w:t xml:space="preserve">, </w:t>
      </w:r>
      <w:r w:rsidR="00C358FF">
        <w:rPr>
          <w:rFonts w:ascii="Times New Roman" w:eastAsia="Times New Roman" w:hAnsi="Times New Roman" w:cs="Times New Roman"/>
          <w:sz w:val="24"/>
          <w:szCs w:val="24"/>
        </w:rPr>
        <w:t xml:space="preserve">relationships between years of practice, employment status, education and demographics and the procedures performed were considered.  </w:t>
      </w:r>
      <w:r w:rsidR="00BD5C9F">
        <w:rPr>
          <w:rFonts w:ascii="Times New Roman" w:eastAsia="Times New Roman" w:hAnsi="Times New Roman" w:cs="Times New Roman"/>
          <w:sz w:val="24"/>
          <w:szCs w:val="24"/>
        </w:rPr>
        <w:t xml:space="preserve">Using SPSS software, Pearson’s correlations were run </w:t>
      </w:r>
      <w:r w:rsidR="004E1583">
        <w:rPr>
          <w:rFonts w:ascii="Times New Roman" w:eastAsia="Times New Roman" w:hAnsi="Times New Roman" w:cs="Times New Roman"/>
          <w:sz w:val="24"/>
          <w:szCs w:val="24"/>
        </w:rPr>
        <w:t>to determine if relationship</w:t>
      </w:r>
      <w:r w:rsidR="00232ED1">
        <w:rPr>
          <w:rFonts w:ascii="Times New Roman" w:eastAsia="Times New Roman" w:hAnsi="Times New Roman" w:cs="Times New Roman"/>
          <w:sz w:val="24"/>
          <w:szCs w:val="24"/>
        </w:rPr>
        <w:t xml:space="preserve">s existed between these variables. </w:t>
      </w:r>
    </w:p>
    <w:p w:rsidR="00487E68" w:rsidRDefault="00487E68" w:rsidP="00934321">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3 summarizes the relationships between demographic variables and periodontal assessment procedures performed by participants. The most significant correlations existed </w:t>
      </w:r>
      <w:r>
        <w:rPr>
          <w:rFonts w:ascii="Times New Roman" w:eastAsia="Times New Roman" w:hAnsi="Times New Roman" w:cs="Times New Roman"/>
          <w:sz w:val="24"/>
          <w:szCs w:val="24"/>
        </w:rPr>
        <w:lastRenderedPageBreak/>
        <w:t xml:space="preserve">between employment </w:t>
      </w:r>
      <w:proofErr w:type="gramStart"/>
      <w:r>
        <w:rPr>
          <w:rFonts w:ascii="Times New Roman" w:eastAsia="Times New Roman" w:hAnsi="Times New Roman" w:cs="Times New Roman"/>
          <w:sz w:val="24"/>
          <w:szCs w:val="24"/>
        </w:rPr>
        <w:t>status</w:t>
      </w:r>
      <w:proofErr w:type="gramEnd"/>
      <w:r>
        <w:rPr>
          <w:rFonts w:ascii="Times New Roman" w:eastAsia="Times New Roman" w:hAnsi="Times New Roman" w:cs="Times New Roman"/>
          <w:sz w:val="24"/>
          <w:szCs w:val="24"/>
        </w:rPr>
        <w:t xml:space="preserve"> and</w:t>
      </w:r>
      <w:r w:rsidR="00A219A6">
        <w:rPr>
          <w:rFonts w:ascii="Times New Roman" w:eastAsia="Times New Roman" w:hAnsi="Times New Roman" w:cs="Times New Roman"/>
          <w:sz w:val="24"/>
          <w:szCs w:val="24"/>
        </w:rPr>
        <w:t xml:space="preserve"> performing periodontal probing</w:t>
      </w:r>
      <w:r w:rsidR="00A03008">
        <w:rPr>
          <w:rFonts w:ascii="Times New Roman" w:eastAsia="Times New Roman" w:hAnsi="Times New Roman" w:cs="Times New Roman"/>
          <w:sz w:val="24"/>
          <w:szCs w:val="24"/>
        </w:rPr>
        <w:t>.  Of other</w:t>
      </w:r>
      <w:r w:rsidR="003110A9">
        <w:rPr>
          <w:rFonts w:ascii="Times New Roman" w:eastAsia="Times New Roman" w:hAnsi="Times New Roman" w:cs="Times New Roman"/>
          <w:sz w:val="24"/>
          <w:szCs w:val="24"/>
        </w:rPr>
        <w:t xml:space="preserve"> significance were the relationships between </w:t>
      </w:r>
      <w:r w:rsidR="00F875FE">
        <w:rPr>
          <w:rFonts w:ascii="Times New Roman" w:eastAsia="Times New Roman" w:hAnsi="Times New Roman" w:cs="Times New Roman"/>
          <w:sz w:val="24"/>
          <w:szCs w:val="24"/>
        </w:rPr>
        <w:t>the number of hours worked per week and</w:t>
      </w:r>
      <w:r>
        <w:rPr>
          <w:rFonts w:ascii="Times New Roman" w:eastAsia="Times New Roman" w:hAnsi="Times New Roman" w:cs="Times New Roman"/>
          <w:sz w:val="24"/>
          <w:szCs w:val="24"/>
        </w:rPr>
        <w:t xml:space="preserve"> perf</w:t>
      </w:r>
      <w:r w:rsidR="00F875FE">
        <w:rPr>
          <w:rFonts w:ascii="Times New Roman" w:eastAsia="Times New Roman" w:hAnsi="Times New Roman" w:cs="Times New Roman"/>
          <w:sz w:val="24"/>
          <w:szCs w:val="24"/>
        </w:rPr>
        <w:t>orming periodontal probing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extraoral</w:t>
      </w:r>
      <w:proofErr w:type="spellEnd"/>
      <w:r>
        <w:rPr>
          <w:rFonts w:ascii="Times New Roman" w:eastAsia="Times New Roman" w:hAnsi="Times New Roman" w:cs="Times New Roman"/>
          <w:sz w:val="24"/>
          <w:szCs w:val="24"/>
        </w:rPr>
        <w:t xml:space="preserve"> and intraoral evaluations</w:t>
      </w:r>
      <w:r w:rsidR="00A219A6">
        <w:rPr>
          <w:rFonts w:ascii="Times New Roman" w:eastAsia="Times New Roman" w:hAnsi="Times New Roman" w:cs="Times New Roman"/>
          <w:sz w:val="24"/>
          <w:szCs w:val="24"/>
        </w:rPr>
        <w:t xml:space="preserve">.  Other strong correlations </w:t>
      </w:r>
      <w:r w:rsidR="003110A9">
        <w:rPr>
          <w:rFonts w:ascii="Times New Roman" w:eastAsia="Times New Roman" w:hAnsi="Times New Roman" w:cs="Times New Roman"/>
          <w:sz w:val="24"/>
          <w:szCs w:val="24"/>
        </w:rPr>
        <w:t xml:space="preserve">existed between </w:t>
      </w:r>
      <w:r w:rsidR="00F875FE">
        <w:rPr>
          <w:rFonts w:ascii="Times New Roman" w:eastAsia="Times New Roman" w:hAnsi="Times New Roman" w:cs="Times New Roman"/>
          <w:sz w:val="24"/>
          <w:szCs w:val="24"/>
        </w:rPr>
        <w:t>the number of hours worked per week and</w:t>
      </w:r>
      <w:r w:rsidR="00A219A6">
        <w:rPr>
          <w:rFonts w:ascii="Times New Roman" w:eastAsia="Times New Roman" w:hAnsi="Times New Roman" w:cs="Times New Roman"/>
          <w:sz w:val="24"/>
          <w:szCs w:val="24"/>
        </w:rPr>
        <w:t xml:space="preserve"> performing thorough </w:t>
      </w:r>
      <w:proofErr w:type="spellStart"/>
      <w:r w:rsidR="00A219A6">
        <w:rPr>
          <w:rFonts w:ascii="Times New Roman" w:eastAsia="Times New Roman" w:hAnsi="Times New Roman" w:cs="Times New Roman"/>
          <w:sz w:val="24"/>
          <w:szCs w:val="24"/>
        </w:rPr>
        <w:t>occlusal</w:t>
      </w:r>
      <w:proofErr w:type="spellEnd"/>
      <w:r w:rsidR="00A219A6">
        <w:rPr>
          <w:rFonts w:ascii="Times New Roman" w:eastAsia="Times New Roman" w:hAnsi="Times New Roman" w:cs="Times New Roman"/>
          <w:sz w:val="24"/>
          <w:szCs w:val="24"/>
        </w:rPr>
        <w:t xml:space="preserve"> evaluations and probing six sites per tooth</w:t>
      </w:r>
      <w:r w:rsidR="00F875FE">
        <w:rPr>
          <w:rFonts w:ascii="Times New Roman" w:eastAsia="Times New Roman" w:hAnsi="Times New Roman" w:cs="Times New Roman"/>
          <w:sz w:val="24"/>
          <w:szCs w:val="24"/>
        </w:rPr>
        <w:t xml:space="preserve">. </w:t>
      </w:r>
      <w:r w:rsidR="00A219A6">
        <w:rPr>
          <w:rFonts w:ascii="Times New Roman" w:eastAsia="Times New Roman" w:hAnsi="Times New Roman" w:cs="Times New Roman"/>
          <w:sz w:val="24"/>
          <w:szCs w:val="24"/>
        </w:rPr>
        <w:t xml:space="preserve"> </w:t>
      </w:r>
      <w:r w:rsidR="007853B0">
        <w:rPr>
          <w:rFonts w:ascii="Times New Roman" w:eastAsia="Times New Roman" w:hAnsi="Times New Roman" w:cs="Times New Roman"/>
          <w:sz w:val="24"/>
          <w:szCs w:val="24"/>
        </w:rPr>
        <w:t xml:space="preserve">There was a strong correlation </w:t>
      </w:r>
      <w:r w:rsidR="003110A9">
        <w:rPr>
          <w:rFonts w:ascii="Times New Roman" w:eastAsia="Times New Roman" w:hAnsi="Times New Roman" w:cs="Times New Roman"/>
          <w:sz w:val="24"/>
          <w:szCs w:val="24"/>
        </w:rPr>
        <w:t>with levels of education and</w:t>
      </w:r>
      <w:r w:rsidR="00A219A6">
        <w:rPr>
          <w:rFonts w:ascii="Times New Roman" w:eastAsia="Times New Roman" w:hAnsi="Times New Roman" w:cs="Times New Roman"/>
          <w:sz w:val="24"/>
          <w:szCs w:val="24"/>
        </w:rPr>
        <w:t xml:space="preserve"> evaluating and recordin</w:t>
      </w:r>
      <w:r w:rsidR="007853B0">
        <w:rPr>
          <w:rFonts w:ascii="Times New Roman" w:eastAsia="Times New Roman" w:hAnsi="Times New Roman" w:cs="Times New Roman"/>
          <w:sz w:val="24"/>
          <w:szCs w:val="24"/>
        </w:rPr>
        <w:t>g attachment loss and</w:t>
      </w:r>
      <w:r w:rsidR="00A219A6">
        <w:rPr>
          <w:rFonts w:ascii="Times New Roman" w:eastAsia="Times New Roman" w:hAnsi="Times New Roman" w:cs="Times New Roman"/>
          <w:sz w:val="24"/>
          <w:szCs w:val="24"/>
        </w:rPr>
        <w:t xml:space="preserve"> recession. </w:t>
      </w:r>
    </w:p>
    <w:p w:rsidR="00A219A6" w:rsidRDefault="00A219A6" w:rsidP="00934321">
      <w:pPr>
        <w:spacing w:line="480" w:lineRule="auto"/>
        <w:contextualSpacing/>
        <w:rPr>
          <w:rFonts w:ascii="Times New Roman" w:eastAsia="Times New Roman" w:hAnsi="Times New Roman" w:cs="Times New Roman"/>
          <w:sz w:val="24"/>
          <w:szCs w:val="24"/>
        </w:rPr>
      </w:pPr>
      <w:r w:rsidRPr="00A219A6">
        <w:rPr>
          <w:rFonts w:ascii="Times New Roman" w:eastAsia="Times New Roman" w:hAnsi="Times New Roman" w:cs="Times New Roman"/>
          <w:sz w:val="24"/>
          <w:szCs w:val="24"/>
        </w:rPr>
        <w:tab/>
      </w:r>
      <w:r>
        <w:rPr>
          <w:rFonts w:ascii="Times New Roman" w:eastAsia="Times New Roman" w:hAnsi="Times New Roman" w:cs="Times New Roman"/>
          <w:sz w:val="24"/>
          <w:szCs w:val="24"/>
        </w:rPr>
        <w:t>Cor</w:t>
      </w:r>
      <w:r w:rsidR="007853B0">
        <w:rPr>
          <w:rFonts w:ascii="Times New Roman" w:eastAsia="Times New Roman" w:hAnsi="Times New Roman" w:cs="Times New Roman"/>
          <w:sz w:val="24"/>
          <w:szCs w:val="24"/>
        </w:rPr>
        <w:t>relations were also found between demographic factors and</w:t>
      </w:r>
      <w:r>
        <w:rPr>
          <w:rFonts w:ascii="Times New Roman" w:eastAsia="Times New Roman" w:hAnsi="Times New Roman" w:cs="Times New Roman"/>
          <w:sz w:val="24"/>
          <w:szCs w:val="24"/>
        </w:rPr>
        <w:t xml:space="preserve"> a</w:t>
      </w:r>
      <w:r w:rsidR="00A03008">
        <w:rPr>
          <w:rFonts w:ascii="Times New Roman" w:eastAsia="Times New Roman" w:hAnsi="Times New Roman" w:cs="Times New Roman"/>
          <w:sz w:val="24"/>
          <w:szCs w:val="24"/>
        </w:rPr>
        <w:t>ssess</w:t>
      </w:r>
      <w:r w:rsidR="007853B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patient</w:t>
      </w:r>
      <w:r w:rsidR="007853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associated risk factors of periodontal disease. One significant</w:t>
      </w:r>
      <w:r w:rsidR="007853B0">
        <w:rPr>
          <w:rFonts w:ascii="Times New Roman" w:eastAsia="Times New Roman" w:hAnsi="Times New Roman" w:cs="Times New Roman"/>
          <w:sz w:val="24"/>
          <w:szCs w:val="24"/>
        </w:rPr>
        <w:t xml:space="preserve"> relationship was</w:t>
      </w:r>
      <w:r w:rsidR="004A6C41">
        <w:rPr>
          <w:rFonts w:ascii="Times New Roman" w:eastAsia="Times New Roman" w:hAnsi="Times New Roman" w:cs="Times New Roman"/>
          <w:sz w:val="24"/>
          <w:szCs w:val="24"/>
        </w:rPr>
        <w:t xml:space="preserve"> between length of </w:t>
      </w:r>
      <w:r w:rsidR="00A92D08">
        <w:rPr>
          <w:rFonts w:ascii="Times New Roman" w:eastAsia="Times New Roman" w:hAnsi="Times New Roman" w:cs="Times New Roman"/>
          <w:sz w:val="24"/>
          <w:szCs w:val="24"/>
        </w:rPr>
        <w:t>time participants</w:t>
      </w:r>
      <w:r>
        <w:rPr>
          <w:rFonts w:ascii="Times New Roman" w:eastAsia="Times New Roman" w:hAnsi="Times New Roman" w:cs="Times New Roman"/>
          <w:sz w:val="24"/>
          <w:szCs w:val="24"/>
        </w:rPr>
        <w:t xml:space="preserve"> have b</w:t>
      </w:r>
      <w:r w:rsidR="00F875FE">
        <w:rPr>
          <w:rFonts w:ascii="Times New Roman" w:eastAsia="Times New Roman" w:hAnsi="Times New Roman" w:cs="Times New Roman"/>
          <w:sz w:val="24"/>
          <w:szCs w:val="24"/>
        </w:rPr>
        <w:t>een practicing dental hygiene and</w:t>
      </w:r>
      <w:r w:rsidR="007853B0">
        <w:rPr>
          <w:rFonts w:ascii="Times New Roman" w:eastAsia="Times New Roman" w:hAnsi="Times New Roman" w:cs="Times New Roman"/>
          <w:sz w:val="24"/>
          <w:szCs w:val="24"/>
        </w:rPr>
        <w:t xml:space="preserve"> their assessment of patients’</w:t>
      </w:r>
      <w:r w:rsidR="004C4886">
        <w:rPr>
          <w:rFonts w:ascii="Times New Roman" w:eastAsia="Times New Roman" w:hAnsi="Times New Roman" w:cs="Times New Roman"/>
          <w:sz w:val="24"/>
          <w:szCs w:val="24"/>
        </w:rPr>
        <w:t xml:space="preserve"> smoking habits; h</w:t>
      </w:r>
      <w:r w:rsidR="00F875FE">
        <w:rPr>
          <w:rFonts w:ascii="Times New Roman" w:eastAsia="Times New Roman" w:hAnsi="Times New Roman" w:cs="Times New Roman"/>
          <w:sz w:val="24"/>
          <w:szCs w:val="24"/>
        </w:rPr>
        <w:t xml:space="preserve">ygienists who have practiced longer were more likely to assess patients’ smoking habits. </w:t>
      </w:r>
      <w:r>
        <w:rPr>
          <w:rFonts w:ascii="Times New Roman" w:eastAsia="Times New Roman" w:hAnsi="Times New Roman" w:cs="Times New Roman"/>
          <w:sz w:val="24"/>
          <w:szCs w:val="24"/>
        </w:rPr>
        <w:t xml:space="preserve">There were no other significant correlations found among other demographics and </w:t>
      </w:r>
      <w:r w:rsidR="007853B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remaining risk factors. </w:t>
      </w:r>
    </w:p>
    <w:p w:rsidR="007853B0" w:rsidRPr="007853B0" w:rsidRDefault="00A219A6" w:rsidP="007853B0">
      <w:pPr>
        <w:spacing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 xml:space="preserve">Several significant correlations (at the 0.01 </w:t>
      </w:r>
      <w:r w:rsidR="007853B0">
        <w:rPr>
          <w:rFonts w:ascii="Times New Roman" w:eastAsia="Times New Roman" w:hAnsi="Times New Roman" w:cs="Times New Roman"/>
          <w:sz w:val="24"/>
          <w:szCs w:val="24"/>
        </w:rPr>
        <w:t>level, 2-tailed), were found between</w:t>
      </w:r>
      <w:r w:rsidR="004A6C41">
        <w:rPr>
          <w:rFonts w:ascii="Times New Roman" w:eastAsia="Times New Roman" w:hAnsi="Times New Roman" w:cs="Times New Roman"/>
          <w:sz w:val="24"/>
          <w:szCs w:val="24"/>
        </w:rPr>
        <w:t xml:space="preserve"> demographics</w:t>
      </w:r>
      <w:r>
        <w:rPr>
          <w:rFonts w:ascii="Times New Roman" w:eastAsia="Times New Roman" w:hAnsi="Times New Roman" w:cs="Times New Roman"/>
          <w:sz w:val="24"/>
          <w:szCs w:val="24"/>
        </w:rPr>
        <w:t xml:space="preserve"> </w:t>
      </w:r>
      <w:r w:rsidR="004A6C41">
        <w:rPr>
          <w:rFonts w:ascii="Times New Roman" w:eastAsia="Times New Roman" w:hAnsi="Times New Roman" w:cs="Times New Roman"/>
          <w:sz w:val="24"/>
          <w:szCs w:val="24"/>
        </w:rPr>
        <w:t>and participan</w:t>
      </w:r>
      <w:r w:rsidR="007853B0">
        <w:rPr>
          <w:rFonts w:ascii="Times New Roman" w:eastAsia="Times New Roman" w:hAnsi="Times New Roman" w:cs="Times New Roman"/>
          <w:sz w:val="24"/>
          <w:szCs w:val="24"/>
        </w:rPr>
        <w:t>ts’</w:t>
      </w:r>
      <w:r>
        <w:rPr>
          <w:rFonts w:ascii="Times New Roman" w:eastAsia="Times New Roman" w:hAnsi="Times New Roman" w:cs="Times New Roman"/>
          <w:sz w:val="24"/>
          <w:szCs w:val="24"/>
        </w:rPr>
        <w:t xml:space="preserve"> awareness </w:t>
      </w:r>
      <w:r w:rsidRPr="004A6C4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use of AAP assessment parameters. Most notably, employm</w:t>
      </w:r>
      <w:r w:rsidR="007853B0">
        <w:rPr>
          <w:rFonts w:ascii="Times New Roman" w:eastAsia="Times New Roman" w:hAnsi="Times New Roman" w:cs="Times New Roman"/>
          <w:sz w:val="24"/>
          <w:szCs w:val="24"/>
        </w:rPr>
        <w:t>ent status,</w:t>
      </w:r>
      <w:r w:rsidR="001028DF">
        <w:rPr>
          <w:rFonts w:ascii="Times New Roman" w:eastAsia="Times New Roman" w:hAnsi="Times New Roman" w:cs="Times New Roman"/>
          <w:sz w:val="24"/>
          <w:szCs w:val="24"/>
        </w:rPr>
        <w:t xml:space="preserve"> number of</w:t>
      </w:r>
      <w:r w:rsidR="007853B0">
        <w:rPr>
          <w:rFonts w:ascii="Times New Roman" w:eastAsia="Times New Roman" w:hAnsi="Times New Roman" w:cs="Times New Roman"/>
          <w:sz w:val="24"/>
          <w:szCs w:val="24"/>
        </w:rPr>
        <w:t xml:space="preserve"> hours worked per week, and level of education</w:t>
      </w:r>
      <w:r>
        <w:rPr>
          <w:rFonts w:ascii="Times New Roman" w:eastAsia="Times New Roman" w:hAnsi="Times New Roman" w:cs="Times New Roman"/>
          <w:sz w:val="24"/>
          <w:szCs w:val="24"/>
        </w:rPr>
        <w:t xml:space="preserve"> showed the strongest </w:t>
      </w:r>
      <w:r w:rsidR="007853B0">
        <w:rPr>
          <w:rFonts w:ascii="Times New Roman" w:eastAsia="Times New Roman" w:hAnsi="Times New Roman" w:cs="Times New Roman"/>
          <w:sz w:val="24"/>
          <w:szCs w:val="24"/>
        </w:rPr>
        <w:t>relationships with participants’</w:t>
      </w:r>
      <w:r>
        <w:rPr>
          <w:rFonts w:ascii="Times New Roman" w:eastAsia="Times New Roman" w:hAnsi="Times New Roman" w:cs="Times New Roman"/>
          <w:sz w:val="24"/>
          <w:szCs w:val="24"/>
        </w:rPr>
        <w:t xml:space="preserve"> performing </w:t>
      </w:r>
      <w:r w:rsidR="00323CF8">
        <w:rPr>
          <w:rFonts w:ascii="Times New Roman" w:eastAsia="Times New Roman" w:hAnsi="Times New Roman" w:cs="Times New Roman"/>
          <w:sz w:val="24"/>
          <w:szCs w:val="24"/>
        </w:rPr>
        <w:t>the AAP assessment procedures.  Hygienists who were employed full-time</w:t>
      </w:r>
      <w:r w:rsidR="004C4886">
        <w:rPr>
          <w:rFonts w:ascii="Times New Roman" w:eastAsia="Times New Roman" w:hAnsi="Times New Roman" w:cs="Times New Roman"/>
          <w:sz w:val="24"/>
          <w:szCs w:val="24"/>
        </w:rPr>
        <w:t xml:space="preserve"> and worked more hours per week</w:t>
      </w:r>
      <w:r w:rsidR="00323CF8">
        <w:rPr>
          <w:rFonts w:ascii="Times New Roman" w:eastAsia="Times New Roman" w:hAnsi="Times New Roman" w:cs="Times New Roman"/>
          <w:sz w:val="24"/>
          <w:szCs w:val="24"/>
        </w:rPr>
        <w:t xml:space="preserve"> were more likely to perform periodontal probing</w:t>
      </w:r>
      <w:r w:rsidR="00C358FF">
        <w:rPr>
          <w:rFonts w:ascii="Times New Roman" w:eastAsia="Times New Roman" w:hAnsi="Times New Roman" w:cs="Times New Roman"/>
          <w:sz w:val="24"/>
          <w:szCs w:val="24"/>
        </w:rPr>
        <w:t>.  T</w:t>
      </w:r>
      <w:r w:rsidR="00FA2877">
        <w:rPr>
          <w:rFonts w:ascii="Times New Roman" w:eastAsia="Times New Roman" w:hAnsi="Times New Roman" w:cs="Times New Roman"/>
          <w:sz w:val="24"/>
          <w:szCs w:val="24"/>
        </w:rPr>
        <w:t>hose hygienists who worke</w:t>
      </w:r>
      <w:r w:rsidR="004C4886">
        <w:rPr>
          <w:rFonts w:ascii="Times New Roman" w:eastAsia="Times New Roman" w:hAnsi="Times New Roman" w:cs="Times New Roman"/>
          <w:sz w:val="24"/>
          <w:szCs w:val="24"/>
        </w:rPr>
        <w:t>d more hours pe</w:t>
      </w:r>
      <w:r w:rsidR="00C358FF">
        <w:rPr>
          <w:rFonts w:ascii="Times New Roman" w:eastAsia="Times New Roman" w:hAnsi="Times New Roman" w:cs="Times New Roman"/>
          <w:sz w:val="24"/>
          <w:szCs w:val="24"/>
        </w:rPr>
        <w:t xml:space="preserve">r week </w:t>
      </w:r>
      <w:r w:rsidR="00FA2877">
        <w:rPr>
          <w:rFonts w:ascii="Times New Roman" w:eastAsia="Times New Roman" w:hAnsi="Times New Roman" w:cs="Times New Roman"/>
          <w:sz w:val="24"/>
          <w:szCs w:val="24"/>
        </w:rPr>
        <w:t xml:space="preserve">more likely to perform </w:t>
      </w:r>
      <w:proofErr w:type="spellStart"/>
      <w:r w:rsidR="00FA2877">
        <w:rPr>
          <w:rFonts w:ascii="Times New Roman" w:eastAsia="Times New Roman" w:hAnsi="Times New Roman" w:cs="Times New Roman"/>
          <w:sz w:val="24"/>
          <w:szCs w:val="24"/>
        </w:rPr>
        <w:t>extraoral</w:t>
      </w:r>
      <w:proofErr w:type="spellEnd"/>
      <w:r w:rsidR="00FA2877">
        <w:rPr>
          <w:rFonts w:ascii="Times New Roman" w:eastAsia="Times New Roman" w:hAnsi="Times New Roman" w:cs="Times New Roman"/>
          <w:sz w:val="24"/>
          <w:szCs w:val="24"/>
        </w:rPr>
        <w:t xml:space="preserve"> and intraoral evaluations, perform thorough </w:t>
      </w:r>
      <w:proofErr w:type="spellStart"/>
      <w:r w:rsidR="00FA2877">
        <w:rPr>
          <w:rFonts w:ascii="Times New Roman" w:eastAsia="Times New Roman" w:hAnsi="Times New Roman" w:cs="Times New Roman"/>
          <w:sz w:val="24"/>
          <w:szCs w:val="24"/>
        </w:rPr>
        <w:t>occlusal</w:t>
      </w:r>
      <w:proofErr w:type="spellEnd"/>
      <w:r w:rsidR="00FA2877">
        <w:rPr>
          <w:rFonts w:ascii="Times New Roman" w:eastAsia="Times New Roman" w:hAnsi="Times New Roman" w:cs="Times New Roman"/>
          <w:sz w:val="24"/>
          <w:szCs w:val="24"/>
        </w:rPr>
        <w:t xml:space="preserve"> </w:t>
      </w:r>
      <w:proofErr w:type="spellStart"/>
      <w:r w:rsidR="00FA2877">
        <w:rPr>
          <w:rFonts w:ascii="Times New Roman" w:eastAsia="Times New Roman" w:hAnsi="Times New Roman" w:cs="Times New Roman"/>
          <w:sz w:val="24"/>
          <w:szCs w:val="24"/>
        </w:rPr>
        <w:t>evalutions</w:t>
      </w:r>
      <w:proofErr w:type="spellEnd"/>
      <w:r w:rsidR="00FA2877">
        <w:rPr>
          <w:rFonts w:ascii="Times New Roman" w:eastAsia="Times New Roman" w:hAnsi="Times New Roman" w:cs="Times New Roman"/>
          <w:sz w:val="24"/>
          <w:szCs w:val="24"/>
        </w:rPr>
        <w:t xml:space="preserve">, and probe six sites per tooth.  </w:t>
      </w:r>
      <w:r w:rsidR="007750B9">
        <w:rPr>
          <w:rFonts w:ascii="Times New Roman" w:eastAsia="Times New Roman" w:hAnsi="Times New Roman" w:cs="Times New Roman"/>
          <w:sz w:val="24"/>
          <w:szCs w:val="24"/>
        </w:rPr>
        <w:t xml:space="preserve">Additionally, as the education levels of the hygienists increased, so did </w:t>
      </w:r>
      <w:proofErr w:type="gramStart"/>
      <w:r w:rsidR="007750B9">
        <w:rPr>
          <w:rFonts w:ascii="Times New Roman" w:eastAsia="Times New Roman" w:hAnsi="Times New Roman" w:cs="Times New Roman"/>
          <w:sz w:val="24"/>
          <w:szCs w:val="24"/>
        </w:rPr>
        <w:t>the  likelihood</w:t>
      </w:r>
      <w:proofErr w:type="gramEnd"/>
      <w:r w:rsidR="007750B9">
        <w:rPr>
          <w:rFonts w:ascii="Times New Roman" w:eastAsia="Times New Roman" w:hAnsi="Times New Roman" w:cs="Times New Roman"/>
          <w:sz w:val="24"/>
          <w:szCs w:val="24"/>
        </w:rPr>
        <w:t xml:space="preserve"> of evaluating and recording clinical attachment loss and recession.  </w:t>
      </w:r>
      <w:r>
        <w:rPr>
          <w:rFonts w:ascii="Times New Roman" w:eastAsia="Times New Roman" w:hAnsi="Times New Roman" w:cs="Times New Roman"/>
          <w:sz w:val="24"/>
          <w:szCs w:val="24"/>
        </w:rPr>
        <w:t xml:space="preserve">Relationships are summarized in Table 4. </w:t>
      </w:r>
    </w:p>
    <w:p w:rsidR="005D224A" w:rsidRPr="00AF5E8A" w:rsidRDefault="005D224A" w:rsidP="00934321">
      <w:pPr>
        <w:spacing w:line="480" w:lineRule="auto"/>
        <w:contextualSpacing/>
        <w:rPr>
          <w:rFonts w:ascii="Times New Roman" w:eastAsia="Times New Roman" w:hAnsi="Times New Roman" w:cs="Times New Roman"/>
          <w:b/>
          <w:sz w:val="24"/>
          <w:szCs w:val="24"/>
        </w:rPr>
      </w:pPr>
      <w:r w:rsidRPr="00AF5E8A">
        <w:rPr>
          <w:rFonts w:ascii="Times New Roman" w:eastAsia="Times New Roman" w:hAnsi="Times New Roman" w:cs="Times New Roman"/>
          <w:b/>
          <w:sz w:val="24"/>
          <w:szCs w:val="24"/>
        </w:rPr>
        <w:t>DISCUSSION</w:t>
      </w:r>
    </w:p>
    <w:p w:rsidR="00907F7B" w:rsidRDefault="00ED317C" w:rsidP="005D224A">
      <w:pPr>
        <w:spacing w:line="48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ab/>
      </w:r>
      <w:r w:rsidR="00907F7B">
        <w:rPr>
          <w:rFonts w:ascii="Times New Roman" w:eastAsia="Calibri" w:hAnsi="Times New Roman" w:cs="Times New Roman"/>
          <w:sz w:val="24"/>
          <w:szCs w:val="24"/>
        </w:rPr>
        <w:t>The NHANES 2009-2011 reported 47.2</w:t>
      </w:r>
      <w:r w:rsidR="00B37D8D">
        <w:rPr>
          <w:rFonts w:ascii="Times New Roman" w:eastAsia="Calibri" w:hAnsi="Times New Roman" w:cs="Times New Roman"/>
          <w:sz w:val="24"/>
          <w:szCs w:val="24"/>
        </w:rPr>
        <w:t>% of the adult U.S.</w:t>
      </w:r>
      <w:r w:rsidR="007853B0">
        <w:rPr>
          <w:rFonts w:ascii="Times New Roman" w:eastAsia="Calibri" w:hAnsi="Times New Roman" w:cs="Times New Roman"/>
          <w:sz w:val="24"/>
          <w:szCs w:val="24"/>
        </w:rPr>
        <w:t xml:space="preserve"> population are </w:t>
      </w:r>
      <w:r w:rsidR="00907F7B">
        <w:rPr>
          <w:rFonts w:ascii="Times New Roman" w:eastAsia="Calibri" w:hAnsi="Times New Roman" w:cs="Times New Roman"/>
          <w:sz w:val="24"/>
          <w:szCs w:val="24"/>
        </w:rPr>
        <w:t>affecte</w:t>
      </w:r>
      <w:r w:rsidR="00B37D8D">
        <w:rPr>
          <w:rFonts w:ascii="Times New Roman" w:eastAsia="Calibri" w:hAnsi="Times New Roman" w:cs="Times New Roman"/>
          <w:sz w:val="24"/>
          <w:szCs w:val="24"/>
        </w:rPr>
        <w:t>d with periodontal disease, representing</w:t>
      </w:r>
      <w:r w:rsidR="007853B0">
        <w:rPr>
          <w:rFonts w:ascii="Times New Roman" w:eastAsia="Calibri" w:hAnsi="Times New Roman" w:cs="Times New Roman"/>
          <w:sz w:val="24"/>
          <w:szCs w:val="24"/>
        </w:rPr>
        <w:t xml:space="preserve"> 64.7 million</w:t>
      </w:r>
      <w:r w:rsidR="007750B9">
        <w:rPr>
          <w:rFonts w:ascii="Times New Roman" w:eastAsia="Calibri" w:hAnsi="Times New Roman" w:cs="Times New Roman"/>
          <w:sz w:val="24"/>
          <w:szCs w:val="24"/>
        </w:rPr>
        <w:t xml:space="preserve"> people</w:t>
      </w:r>
      <w:r w:rsidR="00907F7B">
        <w:rPr>
          <w:rFonts w:ascii="Times New Roman" w:eastAsia="Calibri" w:hAnsi="Times New Roman" w:cs="Times New Roman"/>
          <w:sz w:val="24"/>
          <w:szCs w:val="24"/>
        </w:rPr>
        <w:t>.</w:t>
      </w:r>
      <w:r w:rsidR="00B37D8D">
        <w:rPr>
          <w:rFonts w:ascii="Times New Roman" w:eastAsia="Calibri" w:hAnsi="Times New Roman" w:cs="Times New Roman"/>
          <w:sz w:val="24"/>
          <w:szCs w:val="24"/>
          <w:vertAlign w:val="superscript"/>
        </w:rPr>
        <w:t>4</w:t>
      </w:r>
      <w:r w:rsidR="00E8492B">
        <w:rPr>
          <w:rFonts w:ascii="Times New Roman" w:eastAsia="Calibri" w:hAnsi="Times New Roman" w:cs="Times New Roman"/>
          <w:sz w:val="24"/>
          <w:szCs w:val="24"/>
          <w:vertAlign w:val="superscript"/>
        </w:rPr>
        <w:t>,5</w:t>
      </w:r>
      <w:r w:rsidR="00B37D8D">
        <w:rPr>
          <w:rFonts w:ascii="Times New Roman" w:eastAsia="Calibri" w:hAnsi="Times New Roman" w:cs="Times New Roman"/>
          <w:sz w:val="24"/>
          <w:szCs w:val="24"/>
          <w:vertAlign w:val="superscript"/>
        </w:rPr>
        <w:t xml:space="preserve"> </w:t>
      </w:r>
      <w:r w:rsidR="00907F7B">
        <w:rPr>
          <w:rFonts w:ascii="Times New Roman" w:eastAsia="Calibri" w:hAnsi="Times New Roman" w:cs="Times New Roman"/>
          <w:sz w:val="24"/>
          <w:szCs w:val="24"/>
        </w:rPr>
        <w:t xml:space="preserve"> While the respondents appear</w:t>
      </w:r>
      <w:r w:rsidR="007853B0">
        <w:rPr>
          <w:rFonts w:ascii="Times New Roman" w:eastAsia="Calibri" w:hAnsi="Times New Roman" w:cs="Times New Roman"/>
          <w:sz w:val="24"/>
          <w:szCs w:val="24"/>
        </w:rPr>
        <w:t>ed</w:t>
      </w:r>
      <w:r w:rsidR="004C4886">
        <w:rPr>
          <w:rFonts w:ascii="Times New Roman" w:eastAsia="Calibri" w:hAnsi="Times New Roman" w:cs="Times New Roman"/>
          <w:sz w:val="24"/>
          <w:szCs w:val="24"/>
        </w:rPr>
        <w:t xml:space="preserve"> most often</w:t>
      </w:r>
      <w:r w:rsidR="00907F7B">
        <w:rPr>
          <w:rFonts w:ascii="Times New Roman" w:eastAsia="Calibri" w:hAnsi="Times New Roman" w:cs="Times New Roman"/>
          <w:sz w:val="24"/>
          <w:szCs w:val="24"/>
        </w:rPr>
        <w:t xml:space="preserve"> either</w:t>
      </w:r>
      <w:r w:rsidR="004C4886">
        <w:rPr>
          <w:rFonts w:ascii="Times New Roman" w:eastAsia="Calibri" w:hAnsi="Times New Roman" w:cs="Times New Roman"/>
          <w:sz w:val="24"/>
          <w:szCs w:val="24"/>
        </w:rPr>
        <w:t xml:space="preserve"> frequently or always perform</w:t>
      </w:r>
      <w:r w:rsidR="00907F7B">
        <w:rPr>
          <w:rFonts w:ascii="Times New Roman" w:eastAsia="Calibri" w:hAnsi="Times New Roman" w:cs="Times New Roman"/>
          <w:sz w:val="24"/>
          <w:szCs w:val="24"/>
        </w:rPr>
        <w:t xml:space="preserve"> the periodontal assessment procedures </w:t>
      </w:r>
      <w:r w:rsidR="00B37D8D">
        <w:rPr>
          <w:rFonts w:ascii="Times New Roman" w:eastAsia="Calibri" w:hAnsi="Times New Roman" w:cs="Times New Roman"/>
          <w:sz w:val="24"/>
          <w:szCs w:val="24"/>
        </w:rPr>
        <w:t xml:space="preserve">recommended </w:t>
      </w:r>
      <w:r w:rsidR="00907F7B">
        <w:rPr>
          <w:rFonts w:ascii="Times New Roman" w:eastAsia="Calibri" w:hAnsi="Times New Roman" w:cs="Times New Roman"/>
          <w:sz w:val="24"/>
          <w:szCs w:val="24"/>
        </w:rPr>
        <w:t>by the AAP, there is st</w:t>
      </w:r>
      <w:r w:rsidR="007853B0">
        <w:rPr>
          <w:rFonts w:ascii="Times New Roman" w:eastAsia="Calibri" w:hAnsi="Times New Roman" w:cs="Times New Roman"/>
          <w:sz w:val="24"/>
          <w:szCs w:val="24"/>
        </w:rPr>
        <w:t xml:space="preserve">ill a percentage </w:t>
      </w:r>
      <w:r w:rsidR="004C4886">
        <w:rPr>
          <w:rFonts w:ascii="Times New Roman" w:eastAsia="Calibri" w:hAnsi="Times New Roman" w:cs="Times New Roman"/>
          <w:sz w:val="24"/>
          <w:szCs w:val="24"/>
        </w:rPr>
        <w:t xml:space="preserve">who are </w:t>
      </w:r>
      <w:r w:rsidR="00907F7B">
        <w:rPr>
          <w:rFonts w:ascii="Times New Roman" w:eastAsia="Calibri" w:hAnsi="Times New Roman" w:cs="Times New Roman"/>
          <w:sz w:val="24"/>
          <w:szCs w:val="24"/>
        </w:rPr>
        <w:t>never, rarely, or only occasionally perfor</w:t>
      </w:r>
      <w:r w:rsidR="00B37D8D">
        <w:rPr>
          <w:rFonts w:ascii="Times New Roman" w:eastAsia="Calibri" w:hAnsi="Times New Roman" w:cs="Times New Roman"/>
          <w:sz w:val="24"/>
          <w:szCs w:val="24"/>
        </w:rPr>
        <w:t xml:space="preserve">ming these procedures, leaving a large number of </w:t>
      </w:r>
      <w:r w:rsidR="00907F7B">
        <w:rPr>
          <w:rFonts w:ascii="Times New Roman" w:eastAsia="Calibri" w:hAnsi="Times New Roman" w:cs="Times New Roman"/>
          <w:sz w:val="24"/>
          <w:szCs w:val="24"/>
        </w:rPr>
        <w:t xml:space="preserve">patients who are </w:t>
      </w:r>
      <w:r w:rsidR="00B37D8D">
        <w:rPr>
          <w:rFonts w:ascii="Times New Roman" w:eastAsia="Calibri" w:hAnsi="Times New Roman" w:cs="Times New Roman"/>
          <w:sz w:val="24"/>
          <w:szCs w:val="24"/>
        </w:rPr>
        <w:t xml:space="preserve">still </w:t>
      </w:r>
      <w:r w:rsidR="00907F7B">
        <w:rPr>
          <w:rFonts w:ascii="Times New Roman" w:eastAsia="Calibri" w:hAnsi="Times New Roman" w:cs="Times New Roman"/>
          <w:sz w:val="24"/>
          <w:szCs w:val="24"/>
        </w:rPr>
        <w:t>not receiving the standard of care necessary</w:t>
      </w:r>
      <w:r w:rsidR="00B37D8D">
        <w:rPr>
          <w:rFonts w:ascii="Times New Roman" w:eastAsia="Calibri" w:hAnsi="Times New Roman" w:cs="Times New Roman"/>
          <w:sz w:val="24"/>
          <w:szCs w:val="24"/>
        </w:rPr>
        <w:t xml:space="preserve"> to assess, diagnose, and treat this</w:t>
      </w:r>
      <w:r w:rsidR="00907F7B">
        <w:rPr>
          <w:rFonts w:ascii="Times New Roman" w:eastAsia="Calibri" w:hAnsi="Times New Roman" w:cs="Times New Roman"/>
          <w:sz w:val="24"/>
          <w:szCs w:val="24"/>
        </w:rPr>
        <w:t xml:space="preserve"> destructive</w:t>
      </w:r>
      <w:r w:rsidR="00B37D8D">
        <w:rPr>
          <w:rFonts w:ascii="Times New Roman" w:eastAsia="Calibri" w:hAnsi="Times New Roman" w:cs="Times New Roman"/>
          <w:sz w:val="24"/>
          <w:szCs w:val="24"/>
        </w:rPr>
        <w:t xml:space="preserve"> disease (Graph 1).</w:t>
      </w:r>
      <w:r w:rsidR="00907F7B">
        <w:rPr>
          <w:rFonts w:ascii="Times New Roman" w:eastAsia="Calibri" w:hAnsi="Times New Roman" w:cs="Times New Roman"/>
          <w:sz w:val="24"/>
          <w:szCs w:val="24"/>
        </w:rPr>
        <w:t xml:space="preserve"> </w:t>
      </w:r>
    </w:p>
    <w:p w:rsidR="00CF44EF" w:rsidRPr="00CF44EF" w:rsidRDefault="00272B45" w:rsidP="005D224A">
      <w:pPr>
        <w:spacing w:line="480" w:lineRule="auto"/>
        <w:contextualSpacing/>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ab/>
        <w:t xml:space="preserve">In addition to performing the periodontal assessment procedures, the AAP </w:t>
      </w:r>
      <w:r w:rsidR="007750B9">
        <w:rPr>
          <w:rFonts w:ascii="Times New Roman" w:eastAsia="Calibri" w:hAnsi="Times New Roman" w:cs="Times New Roman"/>
          <w:sz w:val="24"/>
          <w:szCs w:val="24"/>
        </w:rPr>
        <w:t>recommends dental professionals also</w:t>
      </w:r>
      <w:r>
        <w:rPr>
          <w:rFonts w:ascii="Times New Roman" w:eastAsia="Calibri" w:hAnsi="Times New Roman" w:cs="Times New Roman"/>
          <w:sz w:val="24"/>
          <w:szCs w:val="24"/>
        </w:rPr>
        <w:t xml:space="preserve"> assess patient-associated ri</w:t>
      </w:r>
      <w:r w:rsidR="007853B0">
        <w:rPr>
          <w:rFonts w:ascii="Times New Roman" w:eastAsia="Calibri" w:hAnsi="Times New Roman" w:cs="Times New Roman"/>
          <w:sz w:val="24"/>
          <w:szCs w:val="24"/>
        </w:rPr>
        <w:t>sk factors such as patients’</w:t>
      </w:r>
      <w:r>
        <w:rPr>
          <w:rFonts w:ascii="Times New Roman" w:eastAsia="Calibri" w:hAnsi="Times New Roman" w:cs="Times New Roman"/>
          <w:sz w:val="24"/>
          <w:szCs w:val="24"/>
        </w:rPr>
        <w:t xml:space="preserve"> age, smoking habits, and other chronic systemic conditions associated with</w:t>
      </w:r>
      <w:r w:rsidR="007853B0">
        <w:rPr>
          <w:rFonts w:ascii="Times New Roman" w:eastAsia="Calibri" w:hAnsi="Times New Roman" w:cs="Times New Roman"/>
          <w:sz w:val="24"/>
          <w:szCs w:val="24"/>
        </w:rPr>
        <w:t xml:space="preserve"> periodontal disease. Results show </w:t>
      </w:r>
      <w:r w:rsidR="007750B9">
        <w:rPr>
          <w:rFonts w:ascii="Times New Roman" w:eastAsia="Calibri" w:hAnsi="Times New Roman" w:cs="Times New Roman"/>
          <w:sz w:val="24"/>
          <w:szCs w:val="24"/>
        </w:rPr>
        <w:t xml:space="preserve">most </w:t>
      </w:r>
      <w:r w:rsidR="007853B0">
        <w:rPr>
          <w:rFonts w:ascii="Times New Roman" w:eastAsia="Calibri" w:hAnsi="Times New Roman" w:cs="Times New Roman"/>
          <w:sz w:val="24"/>
          <w:szCs w:val="24"/>
        </w:rPr>
        <w:t>hygienists</w:t>
      </w:r>
      <w:r>
        <w:rPr>
          <w:rFonts w:ascii="Times New Roman" w:eastAsia="Calibri" w:hAnsi="Times New Roman" w:cs="Times New Roman"/>
          <w:sz w:val="24"/>
          <w:szCs w:val="24"/>
        </w:rPr>
        <w:t xml:space="preserve"> are either frequently or always assessing these risk factors.</w:t>
      </w:r>
      <w:r w:rsidR="007853B0">
        <w:rPr>
          <w:rFonts w:ascii="Times New Roman" w:eastAsia="Calibri" w:hAnsi="Times New Roman" w:cs="Times New Roman"/>
          <w:sz w:val="24"/>
          <w:szCs w:val="24"/>
        </w:rPr>
        <w:t xml:space="preserve"> </w:t>
      </w:r>
      <w:r w:rsidR="00E8492B">
        <w:rPr>
          <w:rFonts w:ascii="Times New Roman" w:eastAsia="Calibri" w:hAnsi="Times New Roman" w:cs="Times New Roman"/>
          <w:sz w:val="24"/>
          <w:szCs w:val="24"/>
        </w:rPr>
        <w:t xml:space="preserve"> </w:t>
      </w:r>
      <w:r w:rsidR="007853B0">
        <w:rPr>
          <w:rFonts w:ascii="Times New Roman" w:eastAsia="Calibri" w:hAnsi="Times New Roman" w:cs="Times New Roman"/>
          <w:sz w:val="24"/>
          <w:szCs w:val="24"/>
        </w:rPr>
        <w:t xml:space="preserve">However, 25.9% </w:t>
      </w:r>
      <w:r>
        <w:rPr>
          <w:rFonts w:ascii="Times New Roman" w:eastAsia="Calibri" w:hAnsi="Times New Roman" w:cs="Times New Roman"/>
          <w:sz w:val="24"/>
          <w:szCs w:val="24"/>
        </w:rPr>
        <w:t>admit to either never, rarely, or only oc</w:t>
      </w:r>
      <w:r w:rsidR="00672E52">
        <w:rPr>
          <w:rFonts w:ascii="Times New Roman" w:eastAsia="Calibri" w:hAnsi="Times New Roman" w:cs="Times New Roman"/>
          <w:sz w:val="24"/>
          <w:szCs w:val="24"/>
        </w:rPr>
        <w:t>casionally assessing</w:t>
      </w:r>
      <w:r w:rsidR="007853B0">
        <w:rPr>
          <w:rFonts w:ascii="Times New Roman" w:eastAsia="Calibri" w:hAnsi="Times New Roman" w:cs="Times New Roman"/>
          <w:sz w:val="24"/>
          <w:szCs w:val="24"/>
        </w:rPr>
        <w:t xml:space="preserve"> patients’ age as</w:t>
      </w:r>
      <w:r>
        <w:rPr>
          <w:rFonts w:ascii="Times New Roman" w:eastAsia="Calibri" w:hAnsi="Times New Roman" w:cs="Times New Roman"/>
          <w:sz w:val="24"/>
          <w:szCs w:val="24"/>
        </w:rPr>
        <w:t xml:space="preserve"> a risk factor. </w:t>
      </w:r>
      <w:r w:rsidR="00E849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Eleven percent never, rarely, or occasionally </w:t>
      </w:r>
      <w:proofErr w:type="gramStart"/>
      <w:r>
        <w:rPr>
          <w:rFonts w:ascii="Times New Roman" w:eastAsia="Calibri" w:hAnsi="Times New Roman" w:cs="Times New Roman"/>
          <w:sz w:val="24"/>
          <w:szCs w:val="24"/>
        </w:rPr>
        <w:t>assess</w:t>
      </w:r>
      <w:proofErr w:type="gramEnd"/>
      <w:r>
        <w:rPr>
          <w:rFonts w:ascii="Times New Roman" w:eastAsia="Calibri" w:hAnsi="Times New Roman" w:cs="Times New Roman"/>
          <w:sz w:val="24"/>
          <w:szCs w:val="24"/>
        </w:rPr>
        <w:t xml:space="preserve"> patients’ smoking habits and 14.8% either never, rarely, or occasionally assess other chronic systemic conditions affecting periodontal disease. </w:t>
      </w:r>
      <w:r w:rsidR="00425A77">
        <w:rPr>
          <w:rFonts w:ascii="Times New Roman" w:eastAsia="Calibri" w:hAnsi="Times New Roman" w:cs="Times New Roman"/>
          <w:sz w:val="24"/>
          <w:szCs w:val="24"/>
        </w:rPr>
        <w:t>In a state where almost 30%</w:t>
      </w:r>
      <w:r>
        <w:rPr>
          <w:rFonts w:ascii="Times New Roman" w:eastAsia="Calibri" w:hAnsi="Times New Roman" w:cs="Times New Roman"/>
          <w:sz w:val="24"/>
          <w:szCs w:val="24"/>
        </w:rPr>
        <w:t xml:space="preserve"> of the adult population smokes, not assessing this risk factor could have significant ramifications in terms of periodontal disease assessment and diagnosis.</w:t>
      </w:r>
      <w:r w:rsidR="00A92D08">
        <w:rPr>
          <w:rFonts w:ascii="Times New Roman" w:eastAsia="Calibri" w:hAnsi="Times New Roman" w:cs="Times New Roman"/>
          <w:sz w:val="24"/>
          <w:szCs w:val="24"/>
          <w:vertAlign w:val="superscript"/>
        </w:rPr>
        <w:t>19</w:t>
      </w:r>
    </w:p>
    <w:p w:rsidR="00907F7B" w:rsidRDefault="00907F7B" w:rsidP="005D224A">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Mor</w:t>
      </w:r>
      <w:r w:rsidR="00D42311">
        <w:rPr>
          <w:rFonts w:ascii="Times New Roman" w:eastAsia="Calibri" w:hAnsi="Times New Roman" w:cs="Times New Roman"/>
          <w:sz w:val="24"/>
          <w:szCs w:val="24"/>
        </w:rPr>
        <w:t xml:space="preserve">eover, </w:t>
      </w:r>
      <w:r w:rsidR="007853B0">
        <w:rPr>
          <w:rFonts w:ascii="Times New Roman" w:eastAsia="Calibri" w:hAnsi="Times New Roman" w:cs="Times New Roman"/>
          <w:sz w:val="24"/>
          <w:szCs w:val="24"/>
        </w:rPr>
        <w:t xml:space="preserve">there are </w:t>
      </w:r>
      <w:r w:rsidR="0099234C">
        <w:rPr>
          <w:rFonts w:ascii="Times New Roman" w:eastAsia="Calibri" w:hAnsi="Times New Roman" w:cs="Times New Roman"/>
          <w:sz w:val="24"/>
          <w:szCs w:val="24"/>
        </w:rPr>
        <w:t xml:space="preserve">21.5% of </w:t>
      </w:r>
      <w:r w:rsidR="007853B0">
        <w:rPr>
          <w:rFonts w:ascii="Times New Roman" w:eastAsia="Calibri" w:hAnsi="Times New Roman" w:cs="Times New Roman"/>
          <w:sz w:val="24"/>
          <w:szCs w:val="24"/>
        </w:rPr>
        <w:t>hygienists</w:t>
      </w:r>
      <w:r w:rsidR="00D42311">
        <w:rPr>
          <w:rFonts w:ascii="Times New Roman" w:eastAsia="Calibri" w:hAnsi="Times New Roman" w:cs="Times New Roman"/>
          <w:sz w:val="24"/>
          <w:szCs w:val="24"/>
        </w:rPr>
        <w:t xml:space="preserve"> </w:t>
      </w:r>
      <w:r w:rsidR="0013025C">
        <w:rPr>
          <w:rFonts w:ascii="Times New Roman" w:eastAsia="Calibri" w:hAnsi="Times New Roman" w:cs="Times New Roman"/>
          <w:sz w:val="24"/>
          <w:szCs w:val="24"/>
        </w:rPr>
        <w:t xml:space="preserve">who either </w:t>
      </w:r>
      <w:r w:rsidR="00D42311">
        <w:rPr>
          <w:rFonts w:ascii="Times New Roman" w:eastAsia="Calibri" w:hAnsi="Times New Roman" w:cs="Times New Roman"/>
          <w:sz w:val="24"/>
          <w:szCs w:val="24"/>
        </w:rPr>
        <w:t xml:space="preserve">strongly </w:t>
      </w:r>
      <w:r w:rsidR="0013025C">
        <w:rPr>
          <w:rFonts w:ascii="Times New Roman" w:eastAsia="Calibri" w:hAnsi="Times New Roman" w:cs="Times New Roman"/>
          <w:sz w:val="24"/>
          <w:szCs w:val="24"/>
        </w:rPr>
        <w:t>disagree</w:t>
      </w:r>
      <w:r w:rsidR="00D42311">
        <w:rPr>
          <w:rFonts w:ascii="Times New Roman" w:eastAsia="Calibri" w:hAnsi="Times New Roman" w:cs="Times New Roman"/>
          <w:sz w:val="24"/>
          <w:szCs w:val="24"/>
        </w:rPr>
        <w:t xml:space="preserve">, disagree, </w:t>
      </w:r>
      <w:r w:rsidR="0013025C">
        <w:rPr>
          <w:rFonts w:ascii="Times New Roman" w:eastAsia="Calibri" w:hAnsi="Times New Roman" w:cs="Times New Roman"/>
          <w:sz w:val="24"/>
          <w:szCs w:val="24"/>
        </w:rPr>
        <w:t>or ne</w:t>
      </w:r>
      <w:r w:rsidR="0099234C">
        <w:rPr>
          <w:rFonts w:ascii="Times New Roman" w:eastAsia="Calibri" w:hAnsi="Times New Roman" w:cs="Times New Roman"/>
          <w:sz w:val="24"/>
          <w:szCs w:val="24"/>
        </w:rPr>
        <w:t xml:space="preserve">ither agree or disagree </w:t>
      </w:r>
      <w:r w:rsidR="00B37D8D">
        <w:rPr>
          <w:rFonts w:ascii="Times New Roman" w:eastAsia="Calibri" w:hAnsi="Times New Roman" w:cs="Times New Roman"/>
          <w:sz w:val="24"/>
          <w:szCs w:val="24"/>
        </w:rPr>
        <w:t>to</w:t>
      </w:r>
      <w:r w:rsidR="00D42311">
        <w:rPr>
          <w:rFonts w:ascii="Times New Roman" w:eastAsia="Calibri" w:hAnsi="Times New Roman" w:cs="Times New Roman"/>
          <w:sz w:val="24"/>
          <w:szCs w:val="24"/>
        </w:rPr>
        <w:t xml:space="preserve"> being aware o</w:t>
      </w:r>
      <w:r w:rsidR="0013025C">
        <w:rPr>
          <w:rFonts w:ascii="Times New Roman" w:eastAsia="Calibri" w:hAnsi="Times New Roman" w:cs="Times New Roman"/>
          <w:sz w:val="24"/>
          <w:szCs w:val="24"/>
        </w:rPr>
        <w:t>f the periodontal assessment param</w:t>
      </w:r>
      <w:r w:rsidR="0099234C">
        <w:rPr>
          <w:rFonts w:ascii="Times New Roman" w:eastAsia="Calibri" w:hAnsi="Times New Roman" w:cs="Times New Roman"/>
          <w:sz w:val="24"/>
          <w:szCs w:val="24"/>
        </w:rPr>
        <w:t xml:space="preserve">eters </w:t>
      </w:r>
      <w:r w:rsidR="00B37D8D">
        <w:rPr>
          <w:rFonts w:ascii="Times New Roman" w:eastAsia="Calibri" w:hAnsi="Times New Roman" w:cs="Times New Roman"/>
          <w:sz w:val="24"/>
          <w:szCs w:val="24"/>
        </w:rPr>
        <w:t>recommended</w:t>
      </w:r>
      <w:r w:rsidR="0099234C">
        <w:rPr>
          <w:rFonts w:ascii="Times New Roman" w:eastAsia="Calibri" w:hAnsi="Times New Roman" w:cs="Times New Roman"/>
          <w:sz w:val="24"/>
          <w:szCs w:val="24"/>
        </w:rPr>
        <w:t xml:space="preserve"> by the AAP. </w:t>
      </w:r>
      <w:r w:rsidR="00B37D8D">
        <w:rPr>
          <w:rFonts w:ascii="Times New Roman" w:eastAsia="Calibri" w:hAnsi="Times New Roman" w:cs="Times New Roman"/>
          <w:sz w:val="24"/>
          <w:szCs w:val="24"/>
        </w:rPr>
        <w:t xml:space="preserve"> </w:t>
      </w:r>
      <w:r w:rsidR="007853B0">
        <w:rPr>
          <w:rFonts w:ascii="Times New Roman" w:eastAsia="Calibri" w:hAnsi="Times New Roman" w:cs="Times New Roman"/>
          <w:sz w:val="24"/>
          <w:szCs w:val="24"/>
        </w:rPr>
        <w:t>Almost 36%</w:t>
      </w:r>
      <w:r w:rsidR="0013025C">
        <w:rPr>
          <w:rFonts w:ascii="Times New Roman" w:eastAsia="Calibri" w:hAnsi="Times New Roman" w:cs="Times New Roman"/>
          <w:sz w:val="24"/>
          <w:szCs w:val="24"/>
        </w:rPr>
        <w:t xml:space="preserve"> either strongly disagreed, disagreed, or neither agreed or disagreed to performing the periodontal assessment procedures </w:t>
      </w:r>
      <w:r w:rsidR="00C6374F">
        <w:rPr>
          <w:rFonts w:ascii="Times New Roman" w:eastAsia="Calibri" w:hAnsi="Times New Roman" w:cs="Times New Roman"/>
          <w:sz w:val="24"/>
          <w:szCs w:val="24"/>
        </w:rPr>
        <w:t xml:space="preserve">recommended by </w:t>
      </w:r>
      <w:r w:rsidR="0013025C">
        <w:rPr>
          <w:rFonts w:ascii="Times New Roman" w:eastAsia="Calibri" w:hAnsi="Times New Roman" w:cs="Times New Roman"/>
          <w:sz w:val="24"/>
          <w:szCs w:val="24"/>
        </w:rPr>
        <w:t xml:space="preserve">the AAP. If this statistic </w:t>
      </w:r>
      <w:r w:rsidR="00B37D8D">
        <w:rPr>
          <w:rFonts w:ascii="Times New Roman" w:eastAsia="Calibri" w:hAnsi="Times New Roman" w:cs="Times New Roman"/>
          <w:sz w:val="24"/>
          <w:szCs w:val="24"/>
        </w:rPr>
        <w:t xml:space="preserve">was nationally applied, </w:t>
      </w:r>
      <w:r w:rsidR="001606E7">
        <w:rPr>
          <w:rFonts w:ascii="Times New Roman" w:eastAsia="Calibri" w:hAnsi="Times New Roman" w:cs="Times New Roman"/>
          <w:sz w:val="24"/>
          <w:szCs w:val="24"/>
        </w:rPr>
        <w:t xml:space="preserve">millions of adults </w:t>
      </w:r>
      <w:r w:rsidR="007750B9">
        <w:rPr>
          <w:rFonts w:ascii="Times New Roman" w:eastAsia="Calibri" w:hAnsi="Times New Roman" w:cs="Times New Roman"/>
          <w:sz w:val="24"/>
          <w:szCs w:val="24"/>
        </w:rPr>
        <w:t>are</w:t>
      </w:r>
      <w:r w:rsidR="00672E52">
        <w:rPr>
          <w:rFonts w:ascii="Times New Roman" w:eastAsia="Calibri" w:hAnsi="Times New Roman" w:cs="Times New Roman"/>
          <w:sz w:val="24"/>
          <w:szCs w:val="24"/>
        </w:rPr>
        <w:t xml:space="preserve"> </w:t>
      </w:r>
      <w:r w:rsidR="001606E7">
        <w:rPr>
          <w:rFonts w:ascii="Times New Roman" w:eastAsia="Calibri" w:hAnsi="Times New Roman" w:cs="Times New Roman"/>
          <w:sz w:val="24"/>
          <w:szCs w:val="24"/>
        </w:rPr>
        <w:t>undiagnosed</w:t>
      </w:r>
      <w:r w:rsidR="0099234C">
        <w:rPr>
          <w:rFonts w:ascii="Times New Roman" w:eastAsia="Calibri" w:hAnsi="Times New Roman" w:cs="Times New Roman"/>
          <w:sz w:val="24"/>
          <w:szCs w:val="24"/>
        </w:rPr>
        <w:t xml:space="preserve"> and </w:t>
      </w:r>
      <w:r w:rsidR="00C6374F">
        <w:rPr>
          <w:rFonts w:ascii="Times New Roman" w:eastAsia="Calibri" w:hAnsi="Times New Roman" w:cs="Times New Roman"/>
          <w:sz w:val="24"/>
          <w:szCs w:val="24"/>
        </w:rPr>
        <w:t xml:space="preserve">have </w:t>
      </w:r>
      <w:r w:rsidR="0099234C">
        <w:rPr>
          <w:rFonts w:ascii="Times New Roman" w:eastAsia="Calibri" w:hAnsi="Times New Roman" w:cs="Times New Roman"/>
          <w:sz w:val="24"/>
          <w:szCs w:val="24"/>
        </w:rPr>
        <w:t>untreated periodontal disease creating significant o</w:t>
      </w:r>
      <w:r w:rsidR="00B37D8D">
        <w:rPr>
          <w:rFonts w:ascii="Times New Roman" w:eastAsia="Calibri" w:hAnsi="Times New Roman" w:cs="Times New Roman"/>
          <w:sz w:val="24"/>
          <w:szCs w:val="24"/>
        </w:rPr>
        <w:t xml:space="preserve">ral and systemic health risks.  </w:t>
      </w:r>
      <w:r w:rsidR="001606E7">
        <w:rPr>
          <w:rFonts w:ascii="Times New Roman" w:eastAsia="Calibri" w:hAnsi="Times New Roman" w:cs="Times New Roman"/>
          <w:sz w:val="24"/>
          <w:szCs w:val="24"/>
        </w:rPr>
        <w:t>This sh</w:t>
      </w:r>
      <w:r w:rsidR="00B37D8D">
        <w:rPr>
          <w:rFonts w:ascii="Times New Roman" w:eastAsia="Calibri" w:hAnsi="Times New Roman" w:cs="Times New Roman"/>
          <w:sz w:val="24"/>
          <w:szCs w:val="24"/>
        </w:rPr>
        <w:t xml:space="preserve">ould be of great concern to dental professionals. </w:t>
      </w:r>
    </w:p>
    <w:p w:rsidR="001606E7" w:rsidRPr="0099234C" w:rsidRDefault="001606E7" w:rsidP="00B37D8D">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A04940">
        <w:rPr>
          <w:rFonts w:ascii="Times New Roman" w:eastAsia="Calibri" w:hAnsi="Times New Roman" w:cs="Times New Roman"/>
          <w:sz w:val="24"/>
          <w:szCs w:val="24"/>
        </w:rPr>
        <w:t>Upon</w:t>
      </w:r>
      <w:r>
        <w:rPr>
          <w:rFonts w:ascii="Times New Roman" w:eastAsia="Calibri" w:hAnsi="Times New Roman" w:cs="Times New Roman"/>
          <w:sz w:val="24"/>
          <w:szCs w:val="24"/>
        </w:rPr>
        <w:t xml:space="preserve"> analyzing the statistics, strong correlations</w:t>
      </w:r>
      <w:r w:rsidR="00A04940">
        <w:rPr>
          <w:rFonts w:ascii="Times New Roman" w:eastAsia="Calibri" w:hAnsi="Times New Roman" w:cs="Times New Roman"/>
          <w:sz w:val="24"/>
          <w:szCs w:val="24"/>
        </w:rPr>
        <w:t xml:space="preserve"> were discovered</w:t>
      </w:r>
      <w:r w:rsidR="0099234C">
        <w:rPr>
          <w:rFonts w:ascii="Times New Roman" w:eastAsia="Calibri" w:hAnsi="Times New Roman" w:cs="Times New Roman"/>
          <w:sz w:val="24"/>
          <w:szCs w:val="24"/>
        </w:rPr>
        <w:t xml:space="preserve"> between </w:t>
      </w:r>
      <w:r>
        <w:rPr>
          <w:rFonts w:ascii="Times New Roman" w:eastAsia="Calibri" w:hAnsi="Times New Roman" w:cs="Times New Roman"/>
          <w:sz w:val="24"/>
          <w:szCs w:val="24"/>
        </w:rPr>
        <w:t xml:space="preserve">demographic factors and </w:t>
      </w:r>
      <w:r w:rsidR="00A04940">
        <w:rPr>
          <w:rFonts w:ascii="Times New Roman" w:eastAsia="Calibri" w:hAnsi="Times New Roman" w:cs="Times New Roman"/>
          <w:sz w:val="24"/>
          <w:szCs w:val="24"/>
        </w:rPr>
        <w:t>periodontal procedures p</w:t>
      </w:r>
      <w:r w:rsidR="00B37D8D">
        <w:rPr>
          <w:rFonts w:ascii="Times New Roman" w:eastAsia="Calibri" w:hAnsi="Times New Roman" w:cs="Times New Roman"/>
          <w:sz w:val="24"/>
          <w:szCs w:val="24"/>
        </w:rPr>
        <w:t>erformed. Respondent</w:t>
      </w:r>
      <w:r w:rsidR="00A04940">
        <w:rPr>
          <w:rFonts w:ascii="Times New Roman" w:eastAsia="Calibri" w:hAnsi="Times New Roman" w:cs="Times New Roman"/>
          <w:sz w:val="24"/>
          <w:szCs w:val="24"/>
        </w:rPr>
        <w:t>s</w:t>
      </w:r>
      <w:r w:rsidR="00B37D8D">
        <w:rPr>
          <w:rFonts w:ascii="Times New Roman" w:eastAsia="Calibri" w:hAnsi="Times New Roman" w:cs="Times New Roman"/>
          <w:sz w:val="24"/>
          <w:szCs w:val="24"/>
        </w:rPr>
        <w:t>’</w:t>
      </w:r>
      <w:r w:rsidR="00A04940">
        <w:rPr>
          <w:rFonts w:ascii="Times New Roman" w:eastAsia="Calibri" w:hAnsi="Times New Roman" w:cs="Times New Roman"/>
          <w:sz w:val="24"/>
          <w:szCs w:val="24"/>
        </w:rPr>
        <w:t xml:space="preserve"> employment status showed a negative correlation with performing </w:t>
      </w:r>
      <w:r w:rsidR="00B37D8D">
        <w:rPr>
          <w:rFonts w:ascii="Times New Roman" w:eastAsia="Calibri" w:hAnsi="Times New Roman" w:cs="Times New Roman"/>
          <w:sz w:val="24"/>
          <w:szCs w:val="24"/>
        </w:rPr>
        <w:t xml:space="preserve">periodontal probing. This implies that dental </w:t>
      </w:r>
      <w:r w:rsidR="00A04940">
        <w:rPr>
          <w:rFonts w:ascii="Times New Roman" w:eastAsia="Calibri" w:hAnsi="Times New Roman" w:cs="Times New Roman"/>
          <w:sz w:val="24"/>
          <w:szCs w:val="24"/>
        </w:rPr>
        <w:t>hygienists who we</w:t>
      </w:r>
      <w:r w:rsidR="00B37D8D">
        <w:rPr>
          <w:rFonts w:ascii="Times New Roman" w:eastAsia="Calibri" w:hAnsi="Times New Roman" w:cs="Times New Roman"/>
          <w:sz w:val="24"/>
          <w:szCs w:val="24"/>
        </w:rPr>
        <w:t>re either full- or part-time</w:t>
      </w:r>
      <w:r w:rsidR="00A04940">
        <w:rPr>
          <w:rFonts w:ascii="Times New Roman" w:eastAsia="Calibri" w:hAnsi="Times New Roman" w:cs="Times New Roman"/>
          <w:sz w:val="24"/>
          <w:szCs w:val="24"/>
        </w:rPr>
        <w:t xml:space="preserve"> temporary employees were less likely to perform periodonta</w:t>
      </w:r>
      <w:r w:rsidR="00C6374F">
        <w:rPr>
          <w:rFonts w:ascii="Times New Roman" w:eastAsia="Calibri" w:hAnsi="Times New Roman" w:cs="Times New Roman"/>
          <w:sz w:val="24"/>
          <w:szCs w:val="24"/>
        </w:rPr>
        <w:t>l probing than those</w:t>
      </w:r>
      <w:r w:rsidR="00A04940">
        <w:rPr>
          <w:rFonts w:ascii="Times New Roman" w:eastAsia="Calibri" w:hAnsi="Times New Roman" w:cs="Times New Roman"/>
          <w:sz w:val="24"/>
          <w:szCs w:val="24"/>
        </w:rPr>
        <w:t xml:space="preserve"> who were either full- or part-time permanent employees. This may indicate hygienists who are pe</w:t>
      </w:r>
      <w:r w:rsidR="0099234C">
        <w:rPr>
          <w:rFonts w:ascii="Times New Roman" w:eastAsia="Calibri" w:hAnsi="Times New Roman" w:cs="Times New Roman"/>
          <w:sz w:val="24"/>
          <w:szCs w:val="24"/>
        </w:rPr>
        <w:t xml:space="preserve">rmanent employees </w:t>
      </w:r>
      <w:r w:rsidR="00B37D8D">
        <w:rPr>
          <w:rFonts w:ascii="Times New Roman" w:eastAsia="Calibri" w:hAnsi="Times New Roman" w:cs="Times New Roman"/>
          <w:sz w:val="24"/>
          <w:szCs w:val="24"/>
        </w:rPr>
        <w:t>are more vested in their patients’</w:t>
      </w:r>
      <w:r w:rsidR="00A04940">
        <w:rPr>
          <w:rFonts w:ascii="Times New Roman" w:eastAsia="Calibri" w:hAnsi="Times New Roman" w:cs="Times New Roman"/>
          <w:sz w:val="24"/>
          <w:szCs w:val="24"/>
        </w:rPr>
        <w:t xml:space="preserve"> h</w:t>
      </w:r>
      <w:r w:rsidR="00C6374F">
        <w:rPr>
          <w:rFonts w:ascii="Times New Roman" w:eastAsia="Calibri" w:hAnsi="Times New Roman" w:cs="Times New Roman"/>
          <w:sz w:val="24"/>
          <w:szCs w:val="24"/>
        </w:rPr>
        <w:t xml:space="preserve">ealth than those who are </w:t>
      </w:r>
      <w:r w:rsidR="00A04940">
        <w:rPr>
          <w:rFonts w:ascii="Times New Roman" w:eastAsia="Calibri" w:hAnsi="Times New Roman" w:cs="Times New Roman"/>
          <w:sz w:val="24"/>
          <w:szCs w:val="24"/>
        </w:rPr>
        <w:t xml:space="preserve">temporary </w:t>
      </w:r>
      <w:r w:rsidR="00672E52">
        <w:rPr>
          <w:rFonts w:ascii="Times New Roman" w:eastAsia="Calibri" w:hAnsi="Times New Roman" w:cs="Times New Roman"/>
          <w:sz w:val="24"/>
          <w:szCs w:val="24"/>
        </w:rPr>
        <w:t xml:space="preserve">employees </w:t>
      </w:r>
      <w:r w:rsidR="0099234C">
        <w:rPr>
          <w:rFonts w:ascii="Times New Roman" w:eastAsia="Calibri" w:hAnsi="Times New Roman" w:cs="Times New Roman"/>
          <w:sz w:val="24"/>
          <w:szCs w:val="24"/>
        </w:rPr>
        <w:t>or “subs”</w:t>
      </w:r>
      <w:r w:rsidR="00E8492B">
        <w:rPr>
          <w:rFonts w:ascii="Times New Roman" w:eastAsia="Calibri" w:hAnsi="Times New Roman" w:cs="Times New Roman"/>
          <w:sz w:val="24"/>
          <w:szCs w:val="24"/>
        </w:rPr>
        <w:t xml:space="preserve">.  </w:t>
      </w:r>
      <w:r w:rsidR="00A04940">
        <w:rPr>
          <w:rFonts w:ascii="Times New Roman" w:eastAsia="Calibri" w:hAnsi="Times New Roman" w:cs="Times New Roman"/>
          <w:sz w:val="24"/>
          <w:szCs w:val="24"/>
        </w:rPr>
        <w:t>Ultimately,</w:t>
      </w:r>
      <w:r w:rsidR="00CE5DF5">
        <w:rPr>
          <w:rFonts w:ascii="Times New Roman" w:eastAsia="Calibri" w:hAnsi="Times New Roman" w:cs="Times New Roman"/>
          <w:sz w:val="24"/>
          <w:szCs w:val="24"/>
        </w:rPr>
        <w:t xml:space="preserve"> in Indiana, </w:t>
      </w:r>
      <w:r w:rsidR="00A04940">
        <w:rPr>
          <w:rFonts w:ascii="Times New Roman" w:eastAsia="Calibri" w:hAnsi="Times New Roman" w:cs="Times New Roman"/>
          <w:sz w:val="24"/>
          <w:szCs w:val="24"/>
        </w:rPr>
        <w:t xml:space="preserve">a dentist is responsible for the policies, procedures, and </w:t>
      </w:r>
      <w:r w:rsidR="00CE5DF5">
        <w:rPr>
          <w:rFonts w:ascii="Times New Roman" w:eastAsia="Calibri" w:hAnsi="Times New Roman" w:cs="Times New Roman"/>
          <w:sz w:val="24"/>
          <w:szCs w:val="24"/>
        </w:rPr>
        <w:t xml:space="preserve">routines </w:t>
      </w:r>
      <w:r w:rsidR="00A04940">
        <w:rPr>
          <w:rFonts w:ascii="Times New Roman" w:eastAsia="Calibri" w:hAnsi="Times New Roman" w:cs="Times New Roman"/>
          <w:sz w:val="24"/>
          <w:szCs w:val="24"/>
        </w:rPr>
        <w:t xml:space="preserve">of his or her </w:t>
      </w:r>
      <w:proofErr w:type="gramStart"/>
      <w:r w:rsidR="00A04940">
        <w:rPr>
          <w:rFonts w:ascii="Times New Roman" w:eastAsia="Calibri" w:hAnsi="Times New Roman" w:cs="Times New Roman"/>
          <w:sz w:val="24"/>
          <w:szCs w:val="24"/>
        </w:rPr>
        <w:t>practice</w:t>
      </w:r>
      <w:r w:rsidR="001028DF">
        <w:rPr>
          <w:rFonts w:ascii="Times New Roman" w:eastAsia="Calibri" w:hAnsi="Times New Roman" w:cs="Times New Roman"/>
          <w:sz w:val="24"/>
          <w:szCs w:val="24"/>
        </w:rPr>
        <w:t>.</w:t>
      </w:r>
      <w:r w:rsidR="00A92D08">
        <w:rPr>
          <w:rFonts w:ascii="Times New Roman" w:eastAsia="Calibri" w:hAnsi="Times New Roman" w:cs="Times New Roman"/>
          <w:sz w:val="24"/>
          <w:szCs w:val="24"/>
          <w:vertAlign w:val="superscript"/>
        </w:rPr>
        <w:t>20</w:t>
      </w:r>
      <w:r w:rsidR="001028DF">
        <w:rPr>
          <w:rFonts w:ascii="Times New Roman" w:eastAsia="Calibri" w:hAnsi="Times New Roman" w:cs="Times New Roman"/>
          <w:sz w:val="24"/>
          <w:szCs w:val="24"/>
        </w:rPr>
        <w:t xml:space="preserve">  T</w:t>
      </w:r>
      <w:r w:rsidR="00CF44EF">
        <w:rPr>
          <w:rFonts w:ascii="Times New Roman" w:eastAsia="Calibri" w:hAnsi="Times New Roman" w:cs="Times New Roman"/>
          <w:sz w:val="24"/>
          <w:szCs w:val="24"/>
        </w:rPr>
        <w:t>herefore</w:t>
      </w:r>
      <w:proofErr w:type="gramEnd"/>
      <w:r w:rsidR="001028DF">
        <w:rPr>
          <w:rFonts w:ascii="Times New Roman" w:eastAsia="Calibri" w:hAnsi="Times New Roman" w:cs="Times New Roman"/>
          <w:sz w:val="24"/>
          <w:szCs w:val="24"/>
        </w:rPr>
        <w:t>,</w:t>
      </w:r>
      <w:r w:rsidR="00CF44EF">
        <w:rPr>
          <w:rFonts w:ascii="Times New Roman" w:eastAsia="Calibri" w:hAnsi="Times New Roman" w:cs="Times New Roman"/>
          <w:sz w:val="24"/>
          <w:szCs w:val="24"/>
        </w:rPr>
        <w:t xml:space="preserve"> </w:t>
      </w:r>
      <w:r w:rsidR="00CE5DF5">
        <w:rPr>
          <w:rFonts w:ascii="Times New Roman" w:eastAsia="Calibri" w:hAnsi="Times New Roman" w:cs="Times New Roman"/>
          <w:sz w:val="24"/>
          <w:szCs w:val="24"/>
        </w:rPr>
        <w:t xml:space="preserve">having temporary employees who do not comply with this standard of care could </w:t>
      </w:r>
      <w:r w:rsidR="0099234C">
        <w:rPr>
          <w:rFonts w:ascii="Times New Roman" w:eastAsia="Calibri" w:hAnsi="Times New Roman" w:cs="Times New Roman"/>
          <w:sz w:val="24"/>
          <w:szCs w:val="24"/>
        </w:rPr>
        <w:t>pose a risk for the dentist</w:t>
      </w:r>
      <w:r w:rsidR="00B37D8D">
        <w:rPr>
          <w:rFonts w:ascii="Times New Roman" w:eastAsia="Calibri" w:hAnsi="Times New Roman" w:cs="Times New Roman"/>
          <w:sz w:val="24"/>
          <w:szCs w:val="24"/>
        </w:rPr>
        <w:t xml:space="preserve"> and dental practice</w:t>
      </w:r>
      <w:r w:rsidR="0099234C">
        <w:rPr>
          <w:rFonts w:ascii="Times New Roman" w:eastAsia="Calibri" w:hAnsi="Times New Roman" w:cs="Times New Roman"/>
          <w:sz w:val="24"/>
          <w:szCs w:val="24"/>
        </w:rPr>
        <w:t>.</w:t>
      </w:r>
    </w:p>
    <w:p w:rsidR="001D29F8" w:rsidRDefault="00CE5DF5" w:rsidP="00A04940">
      <w:pPr>
        <w:spacing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Other</w:t>
      </w:r>
      <w:r w:rsidR="00B37D8D">
        <w:rPr>
          <w:rFonts w:ascii="Times New Roman" w:eastAsia="Calibri" w:hAnsi="Times New Roman" w:cs="Times New Roman"/>
          <w:sz w:val="24"/>
          <w:szCs w:val="24"/>
        </w:rPr>
        <w:t xml:space="preserve"> strong correlations exist be</w:t>
      </w:r>
      <w:r w:rsidR="00C6374F">
        <w:rPr>
          <w:rFonts w:ascii="Times New Roman" w:eastAsia="Calibri" w:hAnsi="Times New Roman" w:cs="Times New Roman"/>
          <w:sz w:val="24"/>
          <w:szCs w:val="24"/>
        </w:rPr>
        <w:t>tween the number of hours</w:t>
      </w:r>
      <w:r w:rsidR="00B37D8D">
        <w:rPr>
          <w:rFonts w:ascii="Times New Roman" w:eastAsia="Calibri" w:hAnsi="Times New Roman" w:cs="Times New Roman"/>
          <w:sz w:val="24"/>
          <w:szCs w:val="24"/>
        </w:rPr>
        <w:t xml:space="preserve"> hygienists work</w:t>
      </w:r>
      <w:r w:rsidR="00C6374F">
        <w:rPr>
          <w:rFonts w:ascii="Times New Roman" w:eastAsia="Calibri" w:hAnsi="Times New Roman" w:cs="Times New Roman"/>
          <w:sz w:val="24"/>
          <w:szCs w:val="24"/>
        </w:rPr>
        <w:t xml:space="preserve"> per week</w:t>
      </w:r>
      <w:r w:rsidR="00B37D8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performing p</w:t>
      </w:r>
      <w:r w:rsidR="00C6374F">
        <w:rPr>
          <w:rFonts w:ascii="Times New Roman" w:eastAsia="Calibri" w:hAnsi="Times New Roman" w:cs="Times New Roman"/>
          <w:sz w:val="24"/>
          <w:szCs w:val="24"/>
        </w:rPr>
        <w:t xml:space="preserve">eriodontal probing, </w:t>
      </w:r>
      <w:proofErr w:type="spellStart"/>
      <w:r>
        <w:rPr>
          <w:rFonts w:ascii="Times New Roman" w:eastAsia="Calibri" w:hAnsi="Times New Roman" w:cs="Times New Roman"/>
          <w:sz w:val="24"/>
          <w:szCs w:val="24"/>
        </w:rPr>
        <w:t>extraoral</w:t>
      </w:r>
      <w:proofErr w:type="spellEnd"/>
      <w:r>
        <w:rPr>
          <w:rFonts w:ascii="Times New Roman" w:eastAsia="Calibri" w:hAnsi="Times New Roman" w:cs="Times New Roman"/>
          <w:sz w:val="24"/>
          <w:szCs w:val="24"/>
        </w:rPr>
        <w:t xml:space="preserve"> and i</w:t>
      </w:r>
      <w:r w:rsidR="00672E52">
        <w:rPr>
          <w:rFonts w:ascii="Times New Roman" w:eastAsia="Calibri" w:hAnsi="Times New Roman" w:cs="Times New Roman"/>
          <w:sz w:val="24"/>
          <w:szCs w:val="24"/>
        </w:rPr>
        <w:t xml:space="preserve">ntraoral evaluations, </w:t>
      </w:r>
      <w:r>
        <w:rPr>
          <w:rFonts w:ascii="Times New Roman" w:eastAsia="Calibri" w:hAnsi="Times New Roman" w:cs="Times New Roman"/>
          <w:sz w:val="24"/>
          <w:szCs w:val="24"/>
        </w:rPr>
        <w:t xml:space="preserve">a thorough </w:t>
      </w:r>
      <w:proofErr w:type="spellStart"/>
      <w:r>
        <w:rPr>
          <w:rFonts w:ascii="Times New Roman" w:eastAsia="Calibri" w:hAnsi="Times New Roman" w:cs="Times New Roman"/>
          <w:sz w:val="24"/>
          <w:szCs w:val="24"/>
        </w:rPr>
        <w:t>occlusal</w:t>
      </w:r>
      <w:proofErr w:type="spellEnd"/>
      <w:r>
        <w:rPr>
          <w:rFonts w:ascii="Times New Roman" w:eastAsia="Calibri" w:hAnsi="Times New Roman" w:cs="Times New Roman"/>
          <w:sz w:val="24"/>
          <w:szCs w:val="24"/>
        </w:rPr>
        <w:t xml:space="preserve"> evaluation, and probing </w:t>
      </w:r>
      <w:r w:rsidR="00C6374F">
        <w:rPr>
          <w:rFonts w:ascii="Times New Roman" w:eastAsia="Calibri" w:hAnsi="Times New Roman" w:cs="Times New Roman"/>
          <w:sz w:val="24"/>
          <w:szCs w:val="24"/>
        </w:rPr>
        <w:t>six sites per tooth.  T</w:t>
      </w:r>
      <w:r w:rsidR="00B37D8D">
        <w:rPr>
          <w:rFonts w:ascii="Times New Roman" w:eastAsia="Calibri" w:hAnsi="Times New Roman" w:cs="Times New Roman"/>
          <w:sz w:val="24"/>
          <w:szCs w:val="24"/>
        </w:rPr>
        <w:t xml:space="preserve">he more </w:t>
      </w:r>
      <w:proofErr w:type="gramStart"/>
      <w:r w:rsidR="00B37D8D">
        <w:rPr>
          <w:rFonts w:ascii="Times New Roman" w:eastAsia="Calibri" w:hAnsi="Times New Roman" w:cs="Times New Roman"/>
          <w:sz w:val="24"/>
          <w:szCs w:val="24"/>
        </w:rPr>
        <w:t>hour</w:t>
      </w:r>
      <w:r w:rsidR="00C6374F">
        <w:rPr>
          <w:rFonts w:ascii="Times New Roman" w:eastAsia="Calibri" w:hAnsi="Times New Roman" w:cs="Times New Roman"/>
          <w:sz w:val="24"/>
          <w:szCs w:val="24"/>
        </w:rPr>
        <w:t>s</w:t>
      </w:r>
      <w:proofErr w:type="gramEnd"/>
      <w:r w:rsidR="00C6374F">
        <w:rPr>
          <w:rFonts w:ascii="Times New Roman" w:eastAsia="Calibri" w:hAnsi="Times New Roman" w:cs="Times New Roman"/>
          <w:sz w:val="24"/>
          <w:szCs w:val="24"/>
        </w:rPr>
        <w:t xml:space="preserve"> </w:t>
      </w:r>
      <w:r w:rsidR="00B37D8D">
        <w:rPr>
          <w:rFonts w:ascii="Times New Roman" w:eastAsia="Calibri" w:hAnsi="Times New Roman" w:cs="Times New Roman"/>
          <w:sz w:val="24"/>
          <w:szCs w:val="24"/>
        </w:rPr>
        <w:t>hygienist</w:t>
      </w:r>
      <w:r w:rsidR="00672E52">
        <w:rPr>
          <w:rFonts w:ascii="Times New Roman" w:eastAsia="Calibri" w:hAnsi="Times New Roman" w:cs="Times New Roman"/>
          <w:sz w:val="24"/>
          <w:szCs w:val="24"/>
        </w:rPr>
        <w:t>s work per week</w:t>
      </w:r>
      <w:r w:rsidR="00C6374F">
        <w:rPr>
          <w:rFonts w:ascii="Times New Roman" w:eastAsia="Calibri" w:hAnsi="Times New Roman" w:cs="Times New Roman"/>
          <w:sz w:val="24"/>
          <w:szCs w:val="24"/>
        </w:rPr>
        <w:t xml:space="preserve"> increases the incidence of performing </w:t>
      </w:r>
      <w:r w:rsidR="00B37D8D">
        <w:rPr>
          <w:rFonts w:ascii="Times New Roman" w:eastAsia="Calibri" w:hAnsi="Times New Roman" w:cs="Times New Roman"/>
          <w:sz w:val="24"/>
          <w:szCs w:val="24"/>
        </w:rPr>
        <w:t>the procedures</w:t>
      </w:r>
      <w:r w:rsidR="00C6374F">
        <w:rPr>
          <w:rFonts w:ascii="Times New Roman" w:eastAsia="Calibri" w:hAnsi="Times New Roman" w:cs="Times New Roman"/>
          <w:sz w:val="24"/>
          <w:szCs w:val="24"/>
        </w:rPr>
        <w:t xml:space="preserve"> recommended by the AAP</w:t>
      </w:r>
      <w:r w:rsidR="00B37D8D">
        <w:rPr>
          <w:rFonts w:ascii="Times New Roman" w:eastAsia="Calibri" w:hAnsi="Times New Roman" w:cs="Times New Roman"/>
          <w:sz w:val="24"/>
          <w:szCs w:val="24"/>
        </w:rPr>
        <w:t xml:space="preserve">.  </w:t>
      </w:r>
      <w:r w:rsidR="00E8492B">
        <w:rPr>
          <w:rFonts w:ascii="Times New Roman" w:eastAsia="Calibri" w:hAnsi="Times New Roman" w:cs="Times New Roman"/>
          <w:sz w:val="24"/>
          <w:szCs w:val="24"/>
        </w:rPr>
        <w:t>Again, these results</w:t>
      </w:r>
      <w:r w:rsidR="007750B9">
        <w:rPr>
          <w:rFonts w:ascii="Times New Roman" w:eastAsia="Calibri" w:hAnsi="Times New Roman" w:cs="Times New Roman"/>
          <w:sz w:val="24"/>
          <w:szCs w:val="24"/>
        </w:rPr>
        <w:t xml:space="preserve"> suggest</w:t>
      </w:r>
      <w:r w:rsidR="00C6374F">
        <w:rPr>
          <w:rFonts w:ascii="Times New Roman" w:eastAsia="Calibri" w:hAnsi="Times New Roman" w:cs="Times New Roman"/>
          <w:sz w:val="24"/>
          <w:szCs w:val="24"/>
        </w:rPr>
        <w:t xml:space="preserve"> h</w:t>
      </w:r>
      <w:r w:rsidR="004E1C88">
        <w:rPr>
          <w:rFonts w:ascii="Times New Roman" w:eastAsia="Calibri" w:hAnsi="Times New Roman" w:cs="Times New Roman"/>
          <w:sz w:val="24"/>
          <w:szCs w:val="24"/>
        </w:rPr>
        <w:t xml:space="preserve">ygienists who </w:t>
      </w:r>
      <w:r w:rsidR="00C6374F">
        <w:rPr>
          <w:rFonts w:ascii="Times New Roman" w:eastAsia="Calibri" w:hAnsi="Times New Roman" w:cs="Times New Roman"/>
          <w:sz w:val="24"/>
          <w:szCs w:val="24"/>
        </w:rPr>
        <w:t xml:space="preserve">work more hours </w:t>
      </w:r>
      <w:r w:rsidR="004E1C88">
        <w:rPr>
          <w:rFonts w:ascii="Times New Roman" w:eastAsia="Calibri" w:hAnsi="Times New Roman" w:cs="Times New Roman"/>
          <w:sz w:val="24"/>
          <w:szCs w:val="24"/>
        </w:rPr>
        <w:t xml:space="preserve">are more </w:t>
      </w:r>
      <w:r w:rsidR="00B37D8D">
        <w:rPr>
          <w:rFonts w:ascii="Times New Roman" w:eastAsia="Calibri" w:hAnsi="Times New Roman" w:cs="Times New Roman"/>
          <w:sz w:val="24"/>
          <w:szCs w:val="24"/>
        </w:rPr>
        <w:t xml:space="preserve">committed to </w:t>
      </w:r>
      <w:r w:rsidR="004E1C88">
        <w:rPr>
          <w:rFonts w:ascii="Times New Roman" w:eastAsia="Calibri" w:hAnsi="Times New Roman" w:cs="Times New Roman"/>
          <w:sz w:val="24"/>
          <w:szCs w:val="24"/>
        </w:rPr>
        <w:t>the periodontal health of th</w:t>
      </w:r>
      <w:r w:rsidR="0099234C">
        <w:rPr>
          <w:rFonts w:ascii="Times New Roman" w:eastAsia="Calibri" w:hAnsi="Times New Roman" w:cs="Times New Roman"/>
          <w:sz w:val="24"/>
          <w:szCs w:val="24"/>
        </w:rPr>
        <w:t xml:space="preserve">eir patients. </w:t>
      </w:r>
      <w:r w:rsidR="00B37D8D">
        <w:rPr>
          <w:rFonts w:ascii="Times New Roman" w:eastAsia="Calibri" w:hAnsi="Times New Roman" w:cs="Times New Roman"/>
          <w:sz w:val="24"/>
          <w:szCs w:val="24"/>
        </w:rPr>
        <w:t>When reviewing</w:t>
      </w:r>
      <w:r w:rsidR="00B8688C">
        <w:rPr>
          <w:rFonts w:ascii="Times New Roman" w:eastAsia="Calibri" w:hAnsi="Times New Roman" w:cs="Times New Roman"/>
          <w:sz w:val="24"/>
          <w:szCs w:val="24"/>
        </w:rPr>
        <w:t xml:space="preserve"> the respondents’ </w:t>
      </w:r>
      <w:r w:rsidR="001D29F8">
        <w:rPr>
          <w:rFonts w:ascii="Times New Roman" w:eastAsia="Calibri" w:hAnsi="Times New Roman" w:cs="Times New Roman"/>
          <w:sz w:val="24"/>
          <w:szCs w:val="24"/>
        </w:rPr>
        <w:t>education, hygienists with higher levels of education were more likely to evaluate and record cli</w:t>
      </w:r>
      <w:r w:rsidR="00B8688C">
        <w:rPr>
          <w:rFonts w:ascii="Times New Roman" w:eastAsia="Calibri" w:hAnsi="Times New Roman" w:cs="Times New Roman"/>
          <w:sz w:val="24"/>
          <w:szCs w:val="24"/>
        </w:rPr>
        <w:t xml:space="preserve">nical attachment loss and </w:t>
      </w:r>
      <w:r w:rsidR="008D3A90">
        <w:rPr>
          <w:rFonts w:ascii="Times New Roman" w:eastAsia="Calibri" w:hAnsi="Times New Roman" w:cs="Times New Roman"/>
          <w:sz w:val="24"/>
          <w:szCs w:val="24"/>
        </w:rPr>
        <w:t>recession.</w:t>
      </w:r>
    </w:p>
    <w:p w:rsidR="00D42311" w:rsidRDefault="00D42311" w:rsidP="00A04940">
      <w:pPr>
        <w:spacing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In addition to find</w:t>
      </w:r>
      <w:r w:rsidR="00AE289D">
        <w:rPr>
          <w:rFonts w:ascii="Times New Roman" w:eastAsia="Calibri" w:hAnsi="Times New Roman" w:cs="Times New Roman"/>
          <w:sz w:val="24"/>
          <w:szCs w:val="24"/>
        </w:rPr>
        <w:t>ing frequencies of participants’</w:t>
      </w:r>
      <w:r w:rsidR="007750B9">
        <w:rPr>
          <w:rFonts w:ascii="Times New Roman" w:eastAsia="Calibri" w:hAnsi="Times New Roman" w:cs="Times New Roman"/>
          <w:sz w:val="24"/>
          <w:szCs w:val="24"/>
        </w:rPr>
        <w:t xml:space="preserve"> awareness and performance of</w:t>
      </w:r>
      <w:r>
        <w:rPr>
          <w:rFonts w:ascii="Times New Roman" w:eastAsia="Calibri" w:hAnsi="Times New Roman" w:cs="Times New Roman"/>
          <w:sz w:val="24"/>
          <w:szCs w:val="24"/>
        </w:rPr>
        <w:t xml:space="preserve"> the recommended AAP proc</w:t>
      </w:r>
      <w:r w:rsidR="00672E52">
        <w:rPr>
          <w:rFonts w:ascii="Times New Roman" w:eastAsia="Calibri" w:hAnsi="Times New Roman" w:cs="Times New Roman"/>
          <w:sz w:val="24"/>
          <w:szCs w:val="24"/>
        </w:rPr>
        <w:t xml:space="preserve">edures, relationships were </w:t>
      </w:r>
      <w:r>
        <w:rPr>
          <w:rFonts w:ascii="Times New Roman" w:eastAsia="Calibri" w:hAnsi="Times New Roman" w:cs="Times New Roman"/>
          <w:sz w:val="24"/>
          <w:szCs w:val="24"/>
        </w:rPr>
        <w:t>found between these and demographic variables.  Most significantly, employment status (ful</w:t>
      </w:r>
      <w:r w:rsidR="00AE289D">
        <w:rPr>
          <w:rFonts w:ascii="Times New Roman" w:eastAsia="Calibri" w:hAnsi="Times New Roman" w:cs="Times New Roman"/>
          <w:sz w:val="24"/>
          <w:szCs w:val="24"/>
        </w:rPr>
        <w:t xml:space="preserve">l-or part-time), </w:t>
      </w:r>
      <w:r w:rsidR="00672E52">
        <w:rPr>
          <w:rFonts w:ascii="Times New Roman" w:eastAsia="Calibri" w:hAnsi="Times New Roman" w:cs="Times New Roman"/>
          <w:sz w:val="24"/>
          <w:szCs w:val="24"/>
        </w:rPr>
        <w:t xml:space="preserve">number of </w:t>
      </w:r>
      <w:r w:rsidR="00AE289D">
        <w:rPr>
          <w:rFonts w:ascii="Times New Roman" w:eastAsia="Calibri" w:hAnsi="Times New Roman" w:cs="Times New Roman"/>
          <w:sz w:val="24"/>
          <w:szCs w:val="24"/>
        </w:rPr>
        <w:t>hours worked per week</w:t>
      </w:r>
      <w:r>
        <w:rPr>
          <w:rFonts w:ascii="Times New Roman" w:eastAsia="Calibri" w:hAnsi="Times New Roman" w:cs="Times New Roman"/>
          <w:sz w:val="24"/>
          <w:szCs w:val="24"/>
        </w:rPr>
        <w:t xml:space="preserve">, and education levels had the </w:t>
      </w:r>
      <w:r w:rsidR="00AE289D">
        <w:rPr>
          <w:rFonts w:ascii="Times New Roman" w:eastAsia="Calibri" w:hAnsi="Times New Roman" w:cs="Times New Roman"/>
          <w:sz w:val="24"/>
          <w:szCs w:val="24"/>
        </w:rPr>
        <w:t>strongest relationships with participants’</w:t>
      </w:r>
      <w:r>
        <w:rPr>
          <w:rFonts w:ascii="Times New Roman" w:eastAsia="Calibri" w:hAnsi="Times New Roman" w:cs="Times New Roman"/>
          <w:sz w:val="24"/>
          <w:szCs w:val="24"/>
        </w:rPr>
        <w:t xml:space="preserve"> performing </w:t>
      </w:r>
      <w:r w:rsidR="001A7569">
        <w:rPr>
          <w:rFonts w:ascii="Times New Roman" w:eastAsia="Calibri" w:hAnsi="Times New Roman" w:cs="Times New Roman"/>
          <w:sz w:val="24"/>
          <w:szCs w:val="24"/>
        </w:rPr>
        <w:t>the AAP’s</w:t>
      </w:r>
      <w:r>
        <w:rPr>
          <w:rFonts w:ascii="Times New Roman" w:eastAsia="Calibri" w:hAnsi="Times New Roman" w:cs="Times New Roman"/>
          <w:sz w:val="24"/>
          <w:szCs w:val="24"/>
        </w:rPr>
        <w:t xml:space="preserve"> periodontal assessment procedures. </w:t>
      </w:r>
      <w:r w:rsidR="00E8492B">
        <w:rPr>
          <w:rFonts w:ascii="Times New Roman" w:eastAsia="Calibri" w:hAnsi="Times New Roman" w:cs="Times New Roman"/>
          <w:sz w:val="24"/>
          <w:szCs w:val="24"/>
        </w:rPr>
        <w:t xml:space="preserve"> Once more</w:t>
      </w:r>
      <w:r>
        <w:rPr>
          <w:rFonts w:ascii="Times New Roman" w:eastAsia="Calibri" w:hAnsi="Times New Roman" w:cs="Times New Roman"/>
          <w:sz w:val="24"/>
          <w:szCs w:val="24"/>
        </w:rPr>
        <w:t xml:space="preserve">, these statistics may indicate </w:t>
      </w:r>
      <w:r w:rsidR="00CF44EF">
        <w:rPr>
          <w:rFonts w:ascii="Times New Roman" w:eastAsia="Calibri" w:hAnsi="Times New Roman" w:cs="Times New Roman"/>
          <w:sz w:val="24"/>
          <w:szCs w:val="24"/>
        </w:rPr>
        <w:t xml:space="preserve">hygienists </w:t>
      </w:r>
      <w:r w:rsidR="00CF44EF">
        <w:rPr>
          <w:rFonts w:ascii="Times New Roman" w:eastAsia="Calibri" w:hAnsi="Times New Roman" w:cs="Times New Roman"/>
          <w:sz w:val="24"/>
          <w:szCs w:val="24"/>
        </w:rPr>
        <w:lastRenderedPageBreak/>
        <w:t>who are full-time</w:t>
      </w:r>
      <w:r w:rsidR="00AE289D">
        <w:rPr>
          <w:rFonts w:ascii="Times New Roman" w:eastAsia="Calibri" w:hAnsi="Times New Roman" w:cs="Times New Roman"/>
          <w:sz w:val="24"/>
          <w:szCs w:val="24"/>
        </w:rPr>
        <w:t>,</w:t>
      </w:r>
      <w:r w:rsidR="00CF44EF">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CF44EF">
        <w:rPr>
          <w:rFonts w:ascii="Times New Roman" w:eastAsia="Calibri" w:hAnsi="Times New Roman" w:cs="Times New Roman"/>
          <w:sz w:val="24"/>
          <w:szCs w:val="24"/>
        </w:rPr>
        <w:t>ermanent employees</w:t>
      </w:r>
      <w:r w:rsidR="00AE289D">
        <w:rPr>
          <w:rFonts w:ascii="Times New Roman" w:eastAsia="Calibri" w:hAnsi="Times New Roman" w:cs="Times New Roman"/>
          <w:sz w:val="24"/>
          <w:szCs w:val="24"/>
        </w:rPr>
        <w:t>,</w:t>
      </w:r>
      <w:r>
        <w:rPr>
          <w:rFonts w:ascii="Times New Roman" w:eastAsia="Calibri" w:hAnsi="Times New Roman" w:cs="Times New Roman"/>
          <w:sz w:val="24"/>
          <w:szCs w:val="24"/>
        </w:rPr>
        <w:t xml:space="preserve"> with mor</w:t>
      </w:r>
      <w:r w:rsidR="007B313B">
        <w:rPr>
          <w:rFonts w:ascii="Times New Roman" w:eastAsia="Calibri" w:hAnsi="Times New Roman" w:cs="Times New Roman"/>
          <w:sz w:val="24"/>
          <w:szCs w:val="24"/>
        </w:rPr>
        <w:t>e education</w:t>
      </w:r>
      <w:r w:rsidR="00AE289D">
        <w:rPr>
          <w:rFonts w:ascii="Times New Roman" w:eastAsia="Calibri" w:hAnsi="Times New Roman" w:cs="Times New Roman"/>
          <w:sz w:val="24"/>
          <w:szCs w:val="24"/>
        </w:rPr>
        <w:t>,</w:t>
      </w:r>
      <w:r w:rsidR="007B313B">
        <w:rPr>
          <w:rFonts w:ascii="Times New Roman" w:eastAsia="Calibri" w:hAnsi="Times New Roman" w:cs="Times New Roman"/>
          <w:sz w:val="24"/>
          <w:szCs w:val="24"/>
        </w:rPr>
        <w:t xml:space="preserve"> may be more concerned with their patients’ periodontal health. </w:t>
      </w:r>
    </w:p>
    <w:p w:rsidR="001D29F8" w:rsidRDefault="001D29F8" w:rsidP="00A04940">
      <w:pPr>
        <w:spacing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Despite the useful findings of this study, it is necessary to note potential limitations. The participants were all members of the </w:t>
      </w:r>
      <w:r w:rsidR="00B8688C">
        <w:rPr>
          <w:rFonts w:ascii="Times New Roman" w:eastAsia="Calibri" w:hAnsi="Times New Roman" w:cs="Times New Roman"/>
          <w:sz w:val="24"/>
          <w:szCs w:val="24"/>
        </w:rPr>
        <w:t xml:space="preserve">IDHA, which </w:t>
      </w:r>
      <w:r w:rsidR="00AE289D">
        <w:rPr>
          <w:rFonts w:ascii="Times New Roman" w:eastAsia="Calibri" w:hAnsi="Times New Roman" w:cs="Times New Roman"/>
          <w:sz w:val="24"/>
          <w:szCs w:val="24"/>
        </w:rPr>
        <w:t xml:space="preserve">only represents 354 </w:t>
      </w:r>
      <w:r w:rsidR="00F403F8">
        <w:rPr>
          <w:rFonts w:ascii="Times New Roman" w:eastAsia="Calibri" w:hAnsi="Times New Roman" w:cs="Times New Roman"/>
          <w:sz w:val="24"/>
          <w:szCs w:val="24"/>
        </w:rPr>
        <w:t xml:space="preserve">of an estimated </w:t>
      </w:r>
      <w:proofErr w:type="gramStart"/>
      <w:r w:rsidR="00F403F8">
        <w:rPr>
          <w:rFonts w:ascii="Times New Roman" w:eastAsia="Calibri" w:hAnsi="Times New Roman" w:cs="Times New Roman"/>
          <w:sz w:val="24"/>
          <w:szCs w:val="24"/>
        </w:rPr>
        <w:t xml:space="preserve">4,900 </w:t>
      </w:r>
      <w:r>
        <w:rPr>
          <w:rFonts w:ascii="Times New Roman" w:eastAsia="Calibri" w:hAnsi="Times New Roman" w:cs="Times New Roman"/>
          <w:sz w:val="24"/>
          <w:szCs w:val="24"/>
        </w:rPr>
        <w:t xml:space="preserve"> hygienist</w:t>
      </w:r>
      <w:r w:rsidR="00AE289D">
        <w:rPr>
          <w:rFonts w:ascii="Times New Roman" w:eastAsia="Calibri" w:hAnsi="Times New Roman" w:cs="Times New Roman"/>
          <w:sz w:val="24"/>
          <w:szCs w:val="24"/>
        </w:rPr>
        <w:t>s</w:t>
      </w:r>
      <w:proofErr w:type="gramEnd"/>
      <w:r w:rsidR="00AE289D">
        <w:rPr>
          <w:rFonts w:ascii="Times New Roman" w:eastAsia="Calibri" w:hAnsi="Times New Roman" w:cs="Times New Roman"/>
          <w:sz w:val="24"/>
          <w:szCs w:val="24"/>
        </w:rPr>
        <w:t xml:space="preserve"> in Indiana, </w:t>
      </w:r>
      <w:r w:rsidR="00F403F8">
        <w:rPr>
          <w:rFonts w:ascii="Times New Roman" w:eastAsia="Calibri" w:hAnsi="Times New Roman" w:cs="Times New Roman"/>
          <w:sz w:val="24"/>
          <w:szCs w:val="24"/>
        </w:rPr>
        <w:t>7</w:t>
      </w:r>
      <w:r w:rsidR="00AB3003">
        <w:rPr>
          <w:rFonts w:ascii="Times New Roman" w:eastAsia="Calibri" w:hAnsi="Times New Roman" w:cs="Times New Roman"/>
          <w:sz w:val="24"/>
          <w:szCs w:val="24"/>
        </w:rPr>
        <w:t xml:space="preserve">% </w:t>
      </w:r>
      <w:r w:rsidR="00AE289D">
        <w:rPr>
          <w:rFonts w:ascii="Times New Roman" w:eastAsia="Calibri" w:hAnsi="Times New Roman" w:cs="Times New Roman"/>
          <w:sz w:val="24"/>
          <w:szCs w:val="24"/>
        </w:rPr>
        <w:t>of licensed hygienists</w:t>
      </w:r>
      <w:r>
        <w:rPr>
          <w:rFonts w:ascii="Times New Roman" w:eastAsia="Calibri" w:hAnsi="Times New Roman" w:cs="Times New Roman"/>
          <w:sz w:val="24"/>
          <w:szCs w:val="24"/>
        </w:rPr>
        <w:t xml:space="preserve">.  While the information </w:t>
      </w:r>
      <w:r w:rsidR="00AE289D">
        <w:rPr>
          <w:rFonts w:ascii="Times New Roman" w:eastAsia="Calibri" w:hAnsi="Times New Roman" w:cs="Times New Roman"/>
          <w:sz w:val="24"/>
          <w:szCs w:val="24"/>
        </w:rPr>
        <w:t>gained</w:t>
      </w:r>
      <w:r w:rsidR="00162991">
        <w:rPr>
          <w:rFonts w:ascii="Times New Roman" w:eastAsia="Calibri" w:hAnsi="Times New Roman" w:cs="Times New Roman"/>
          <w:sz w:val="24"/>
          <w:szCs w:val="24"/>
        </w:rPr>
        <w:t xml:space="preserve"> from this study is</w:t>
      </w:r>
      <w:r>
        <w:rPr>
          <w:rFonts w:ascii="Times New Roman" w:eastAsia="Calibri" w:hAnsi="Times New Roman" w:cs="Times New Roman"/>
          <w:sz w:val="24"/>
          <w:szCs w:val="24"/>
        </w:rPr>
        <w:t xml:space="preserve"> helpful,</w:t>
      </w:r>
      <w:r w:rsidR="00162991">
        <w:rPr>
          <w:rFonts w:ascii="Times New Roman" w:eastAsia="Calibri" w:hAnsi="Times New Roman" w:cs="Times New Roman"/>
          <w:sz w:val="24"/>
          <w:szCs w:val="24"/>
        </w:rPr>
        <w:t xml:space="preserve"> </w:t>
      </w:r>
      <w:r w:rsidR="00AB3003">
        <w:rPr>
          <w:rFonts w:ascii="Times New Roman" w:eastAsia="Calibri" w:hAnsi="Times New Roman" w:cs="Times New Roman"/>
          <w:sz w:val="24"/>
          <w:szCs w:val="24"/>
        </w:rPr>
        <w:t xml:space="preserve">it may not be </w:t>
      </w:r>
      <w:r w:rsidR="00162991">
        <w:rPr>
          <w:rFonts w:ascii="Times New Roman" w:eastAsia="Calibri" w:hAnsi="Times New Roman" w:cs="Times New Roman"/>
          <w:sz w:val="24"/>
          <w:szCs w:val="24"/>
        </w:rPr>
        <w:t>an accurate representation of the practices of all hygienists in Indiana. An additional</w:t>
      </w:r>
      <w:r w:rsidR="00AE289D">
        <w:rPr>
          <w:rFonts w:ascii="Times New Roman" w:eastAsia="Calibri" w:hAnsi="Times New Roman" w:cs="Times New Roman"/>
          <w:sz w:val="24"/>
          <w:szCs w:val="24"/>
        </w:rPr>
        <w:t xml:space="preserve"> study that includes all </w:t>
      </w:r>
      <w:r w:rsidR="00162991">
        <w:rPr>
          <w:rFonts w:ascii="Times New Roman" w:eastAsia="Calibri" w:hAnsi="Times New Roman" w:cs="Times New Roman"/>
          <w:sz w:val="24"/>
          <w:szCs w:val="24"/>
        </w:rPr>
        <w:t xml:space="preserve">Indiana dental hygienists may produce more significant results. A second limitation is that all questions were only allowed a </w:t>
      </w:r>
      <w:proofErr w:type="spellStart"/>
      <w:r w:rsidR="00162991">
        <w:rPr>
          <w:rFonts w:ascii="Times New Roman" w:eastAsia="Calibri" w:hAnsi="Times New Roman" w:cs="Times New Roman"/>
          <w:sz w:val="24"/>
          <w:szCs w:val="24"/>
        </w:rPr>
        <w:t>Likert</w:t>
      </w:r>
      <w:proofErr w:type="spellEnd"/>
      <w:r w:rsidR="00162991">
        <w:rPr>
          <w:rFonts w:ascii="Times New Roman" w:eastAsia="Calibri" w:hAnsi="Times New Roman" w:cs="Times New Roman"/>
          <w:sz w:val="24"/>
          <w:szCs w:val="24"/>
        </w:rPr>
        <w:t xml:space="preserve"> scale response with no write-in answers. Some of the answers given </w:t>
      </w:r>
      <w:r w:rsidR="00B8688C">
        <w:rPr>
          <w:rFonts w:ascii="Times New Roman" w:eastAsia="Calibri" w:hAnsi="Times New Roman" w:cs="Times New Roman"/>
          <w:sz w:val="24"/>
          <w:szCs w:val="24"/>
        </w:rPr>
        <w:t xml:space="preserve">may </w:t>
      </w:r>
      <w:r w:rsidR="00AE289D">
        <w:rPr>
          <w:rFonts w:ascii="Times New Roman" w:eastAsia="Calibri" w:hAnsi="Times New Roman" w:cs="Times New Roman"/>
          <w:sz w:val="24"/>
          <w:szCs w:val="24"/>
        </w:rPr>
        <w:t>have been misleading since there were</w:t>
      </w:r>
      <w:r w:rsidR="00162991">
        <w:rPr>
          <w:rFonts w:ascii="Times New Roman" w:eastAsia="Calibri" w:hAnsi="Times New Roman" w:cs="Times New Roman"/>
          <w:sz w:val="24"/>
          <w:szCs w:val="24"/>
        </w:rPr>
        <w:t xml:space="preserve"> limited choices for each question.  </w:t>
      </w:r>
      <w:r w:rsidR="00AE289D">
        <w:rPr>
          <w:rFonts w:ascii="Times New Roman" w:eastAsia="Calibri" w:hAnsi="Times New Roman" w:cs="Times New Roman"/>
          <w:sz w:val="24"/>
          <w:szCs w:val="24"/>
        </w:rPr>
        <w:t>A third limitation</w:t>
      </w:r>
      <w:r w:rsidR="001A7569">
        <w:rPr>
          <w:rFonts w:ascii="Times New Roman" w:eastAsia="Calibri" w:hAnsi="Times New Roman" w:cs="Times New Roman"/>
          <w:sz w:val="24"/>
          <w:szCs w:val="24"/>
        </w:rPr>
        <w:t xml:space="preserve"> is self-selection bias.  Dental hygienists invited to participate were given an informational letter explaining the purpose of the study</w:t>
      </w:r>
      <w:r w:rsidR="00AE289D">
        <w:rPr>
          <w:rFonts w:ascii="Times New Roman" w:eastAsia="Calibri" w:hAnsi="Times New Roman" w:cs="Times New Roman"/>
          <w:sz w:val="24"/>
          <w:szCs w:val="24"/>
        </w:rPr>
        <w:t>-</w:t>
      </w:r>
      <w:r w:rsidR="00672E52">
        <w:rPr>
          <w:rFonts w:ascii="Times New Roman" w:eastAsia="Calibri" w:hAnsi="Times New Roman" w:cs="Times New Roman"/>
          <w:sz w:val="24"/>
          <w:szCs w:val="24"/>
        </w:rPr>
        <w:t>-</w:t>
      </w:r>
      <w:r w:rsidR="001A7569">
        <w:rPr>
          <w:rFonts w:ascii="Times New Roman" w:eastAsia="Calibri" w:hAnsi="Times New Roman" w:cs="Times New Roman"/>
          <w:sz w:val="24"/>
          <w:szCs w:val="24"/>
        </w:rPr>
        <w:t>to assess periodontal assessment procedures performed</w:t>
      </w:r>
      <w:r w:rsidR="00AE289D">
        <w:rPr>
          <w:rFonts w:ascii="Times New Roman" w:eastAsia="Calibri" w:hAnsi="Times New Roman" w:cs="Times New Roman"/>
          <w:sz w:val="24"/>
          <w:szCs w:val="24"/>
        </w:rPr>
        <w:t xml:space="preserve">. </w:t>
      </w:r>
      <w:r w:rsidR="001A7569">
        <w:rPr>
          <w:rFonts w:ascii="Times New Roman" w:eastAsia="Calibri" w:hAnsi="Times New Roman" w:cs="Times New Roman"/>
          <w:sz w:val="24"/>
          <w:szCs w:val="24"/>
        </w:rPr>
        <w:t>If</w:t>
      </w:r>
      <w:r w:rsidR="00CF44EF">
        <w:rPr>
          <w:rFonts w:ascii="Times New Roman" w:eastAsia="Calibri" w:hAnsi="Times New Roman" w:cs="Times New Roman"/>
          <w:sz w:val="24"/>
          <w:szCs w:val="24"/>
        </w:rPr>
        <w:t xml:space="preserve"> p</w:t>
      </w:r>
      <w:r w:rsidR="001A7569">
        <w:rPr>
          <w:rFonts w:ascii="Times New Roman" w:eastAsia="Calibri" w:hAnsi="Times New Roman" w:cs="Times New Roman"/>
          <w:sz w:val="24"/>
          <w:szCs w:val="24"/>
        </w:rPr>
        <w:t>otential participants did not</w:t>
      </w:r>
      <w:r w:rsidR="00AE289D">
        <w:rPr>
          <w:rFonts w:ascii="Times New Roman" w:eastAsia="Calibri" w:hAnsi="Times New Roman" w:cs="Times New Roman"/>
          <w:sz w:val="24"/>
          <w:szCs w:val="24"/>
        </w:rPr>
        <w:t xml:space="preserve"> </w:t>
      </w:r>
      <w:r w:rsidR="001A7569">
        <w:rPr>
          <w:rFonts w:ascii="Times New Roman" w:eastAsia="Calibri" w:hAnsi="Times New Roman" w:cs="Times New Roman"/>
          <w:sz w:val="24"/>
          <w:szCs w:val="24"/>
        </w:rPr>
        <w:t>perform these procedures, t</w:t>
      </w:r>
      <w:r w:rsidR="007750B9">
        <w:rPr>
          <w:rFonts w:ascii="Times New Roman" w:eastAsia="Calibri" w:hAnsi="Times New Roman" w:cs="Times New Roman"/>
          <w:sz w:val="24"/>
          <w:szCs w:val="24"/>
        </w:rPr>
        <w:t>hey may have elected not to participate in</w:t>
      </w:r>
      <w:r w:rsidR="001A7569">
        <w:rPr>
          <w:rFonts w:ascii="Times New Roman" w:eastAsia="Calibri" w:hAnsi="Times New Roman" w:cs="Times New Roman"/>
          <w:sz w:val="24"/>
          <w:szCs w:val="24"/>
        </w:rPr>
        <w:t xml:space="preserve"> the survey</w:t>
      </w:r>
      <w:r w:rsidR="00A218E5">
        <w:rPr>
          <w:rFonts w:ascii="Times New Roman" w:eastAsia="Calibri" w:hAnsi="Times New Roman" w:cs="Times New Roman"/>
          <w:sz w:val="24"/>
          <w:szCs w:val="24"/>
        </w:rPr>
        <w:t>.</w:t>
      </w:r>
      <w:r w:rsidR="00A92D08">
        <w:rPr>
          <w:rFonts w:ascii="Times New Roman" w:eastAsia="Calibri" w:hAnsi="Times New Roman" w:cs="Times New Roman"/>
          <w:sz w:val="24"/>
          <w:szCs w:val="24"/>
          <w:vertAlign w:val="superscript"/>
        </w:rPr>
        <w:t>21</w:t>
      </w:r>
      <w:r w:rsidR="00A218E5">
        <w:rPr>
          <w:rFonts w:ascii="Times New Roman" w:eastAsia="Calibri" w:hAnsi="Times New Roman" w:cs="Times New Roman"/>
          <w:sz w:val="24"/>
          <w:szCs w:val="24"/>
          <w:vertAlign w:val="superscript"/>
        </w:rPr>
        <w:t xml:space="preserve"> </w:t>
      </w:r>
      <w:r w:rsidR="00CF44EF">
        <w:rPr>
          <w:rFonts w:ascii="Times New Roman" w:eastAsia="Calibri" w:hAnsi="Times New Roman" w:cs="Times New Roman"/>
          <w:sz w:val="24"/>
          <w:szCs w:val="24"/>
        </w:rPr>
        <w:t xml:space="preserve">  </w:t>
      </w:r>
      <w:proofErr w:type="gramStart"/>
      <w:r w:rsidR="00AE289D">
        <w:rPr>
          <w:rFonts w:ascii="Times New Roman" w:eastAsia="Calibri" w:hAnsi="Times New Roman" w:cs="Times New Roman"/>
          <w:sz w:val="24"/>
          <w:szCs w:val="24"/>
        </w:rPr>
        <w:t>Despite</w:t>
      </w:r>
      <w:proofErr w:type="gramEnd"/>
      <w:r w:rsidR="00AE289D">
        <w:rPr>
          <w:rFonts w:ascii="Times New Roman" w:eastAsia="Calibri" w:hAnsi="Times New Roman" w:cs="Times New Roman"/>
          <w:sz w:val="24"/>
          <w:szCs w:val="24"/>
        </w:rPr>
        <w:t xml:space="preserve"> </w:t>
      </w:r>
      <w:r w:rsidR="00AB3003">
        <w:rPr>
          <w:rFonts w:ascii="Times New Roman" w:eastAsia="Calibri" w:hAnsi="Times New Roman" w:cs="Times New Roman"/>
          <w:sz w:val="24"/>
          <w:szCs w:val="24"/>
        </w:rPr>
        <w:t>the limitations stated,</w:t>
      </w:r>
      <w:r w:rsidR="00E46218">
        <w:rPr>
          <w:rFonts w:ascii="Times New Roman" w:eastAsia="Calibri" w:hAnsi="Times New Roman" w:cs="Times New Roman"/>
          <w:sz w:val="24"/>
          <w:szCs w:val="24"/>
        </w:rPr>
        <w:t xml:space="preserve"> the information gathered establishes a</w:t>
      </w:r>
      <w:r w:rsidR="00B8688C">
        <w:rPr>
          <w:rFonts w:ascii="Times New Roman" w:eastAsia="Calibri" w:hAnsi="Times New Roman" w:cs="Times New Roman"/>
          <w:sz w:val="24"/>
          <w:szCs w:val="24"/>
        </w:rPr>
        <w:t xml:space="preserve"> baseline</w:t>
      </w:r>
      <w:r w:rsidR="00162991">
        <w:rPr>
          <w:rFonts w:ascii="Times New Roman" w:eastAsia="Calibri" w:hAnsi="Times New Roman" w:cs="Times New Roman"/>
          <w:sz w:val="24"/>
          <w:szCs w:val="24"/>
        </w:rPr>
        <w:t xml:space="preserve"> of current practices and procedures regarding periodontal disease assessment among Indiana dental hygienists. </w:t>
      </w:r>
    </w:p>
    <w:p w:rsidR="008D3A90" w:rsidRPr="00AF5E8A" w:rsidRDefault="008D3A90" w:rsidP="00A97B23">
      <w:pPr>
        <w:tabs>
          <w:tab w:val="right" w:pos="9360"/>
        </w:tabs>
        <w:spacing w:line="480" w:lineRule="auto"/>
        <w:contextualSpacing/>
        <w:rPr>
          <w:rFonts w:ascii="Times New Roman" w:eastAsia="Calibri" w:hAnsi="Times New Roman" w:cs="Times New Roman"/>
          <w:b/>
          <w:sz w:val="24"/>
          <w:szCs w:val="24"/>
        </w:rPr>
      </w:pPr>
      <w:r w:rsidRPr="00AF5E8A">
        <w:rPr>
          <w:rFonts w:ascii="Times New Roman" w:eastAsia="Calibri" w:hAnsi="Times New Roman" w:cs="Times New Roman"/>
          <w:b/>
          <w:sz w:val="24"/>
          <w:szCs w:val="24"/>
        </w:rPr>
        <w:t>CONCLUSIONS</w:t>
      </w:r>
      <w:r w:rsidR="00A97B23" w:rsidRPr="00AF5E8A">
        <w:rPr>
          <w:rFonts w:ascii="Times New Roman" w:eastAsia="Calibri" w:hAnsi="Times New Roman" w:cs="Times New Roman"/>
          <w:b/>
          <w:sz w:val="24"/>
          <w:szCs w:val="24"/>
        </w:rPr>
        <w:tab/>
      </w:r>
    </w:p>
    <w:p w:rsidR="00B84849" w:rsidRDefault="008D3A90" w:rsidP="00B84849">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A218E5">
        <w:rPr>
          <w:rFonts w:ascii="Times New Roman" w:eastAsia="Calibri" w:hAnsi="Times New Roman" w:cs="Times New Roman"/>
          <w:sz w:val="24"/>
          <w:szCs w:val="24"/>
        </w:rPr>
        <w:t>This study showed</w:t>
      </w:r>
      <w:r w:rsidR="001028DF">
        <w:rPr>
          <w:rFonts w:ascii="Times New Roman" w:eastAsia="Calibri" w:hAnsi="Times New Roman" w:cs="Times New Roman"/>
          <w:sz w:val="24"/>
          <w:szCs w:val="24"/>
        </w:rPr>
        <w:t xml:space="preserve"> 78.5% of hygienists are aware of the </w:t>
      </w:r>
      <w:r w:rsidR="00B84849">
        <w:rPr>
          <w:rFonts w:ascii="Times New Roman" w:eastAsia="Calibri" w:hAnsi="Times New Roman" w:cs="Times New Roman"/>
          <w:sz w:val="24"/>
          <w:szCs w:val="24"/>
        </w:rPr>
        <w:t xml:space="preserve">recommended </w:t>
      </w:r>
      <w:r w:rsidR="001028DF">
        <w:rPr>
          <w:rFonts w:ascii="Times New Roman" w:eastAsia="Calibri" w:hAnsi="Times New Roman" w:cs="Times New Roman"/>
          <w:sz w:val="24"/>
          <w:szCs w:val="24"/>
        </w:rPr>
        <w:t xml:space="preserve">AAP </w:t>
      </w:r>
      <w:r w:rsidR="00B84849">
        <w:rPr>
          <w:rFonts w:ascii="Times New Roman" w:eastAsia="Calibri" w:hAnsi="Times New Roman" w:cs="Times New Roman"/>
          <w:sz w:val="24"/>
          <w:szCs w:val="24"/>
        </w:rPr>
        <w:t>peri</w:t>
      </w:r>
      <w:r w:rsidR="00672E52">
        <w:rPr>
          <w:rFonts w:ascii="Times New Roman" w:eastAsia="Calibri" w:hAnsi="Times New Roman" w:cs="Times New Roman"/>
          <w:sz w:val="24"/>
          <w:szCs w:val="24"/>
        </w:rPr>
        <w:t>odont</w:t>
      </w:r>
      <w:r w:rsidR="00B84849">
        <w:rPr>
          <w:rFonts w:ascii="Times New Roman" w:eastAsia="Calibri" w:hAnsi="Times New Roman" w:cs="Times New Roman"/>
          <w:sz w:val="24"/>
          <w:szCs w:val="24"/>
        </w:rPr>
        <w:t xml:space="preserve">al assessment procedures, </w:t>
      </w:r>
      <w:r w:rsidR="001028DF">
        <w:rPr>
          <w:rFonts w:ascii="Times New Roman" w:eastAsia="Calibri" w:hAnsi="Times New Roman" w:cs="Times New Roman"/>
          <w:sz w:val="24"/>
          <w:szCs w:val="24"/>
        </w:rPr>
        <w:t>and 64.1% incorporate the AAP</w:t>
      </w:r>
      <w:r w:rsidR="00DF3239">
        <w:rPr>
          <w:rFonts w:ascii="Times New Roman" w:eastAsia="Calibri" w:hAnsi="Times New Roman" w:cs="Times New Roman"/>
          <w:sz w:val="24"/>
          <w:szCs w:val="24"/>
        </w:rPr>
        <w:t xml:space="preserve"> procedures into routine care.  </w:t>
      </w:r>
      <w:r w:rsidR="00AF35A3">
        <w:rPr>
          <w:rFonts w:ascii="Times New Roman" w:eastAsia="Calibri" w:hAnsi="Times New Roman" w:cs="Times New Roman"/>
          <w:sz w:val="24"/>
          <w:szCs w:val="24"/>
        </w:rPr>
        <w:t xml:space="preserve">While the percentages of hygienists who are aware of and who are performing the recommended AAP procedures is good, room for improvement exists. </w:t>
      </w:r>
      <w:r w:rsidR="00DF3239">
        <w:rPr>
          <w:rFonts w:ascii="Times New Roman" w:eastAsia="Calibri" w:hAnsi="Times New Roman" w:cs="Times New Roman"/>
          <w:sz w:val="24"/>
          <w:szCs w:val="24"/>
        </w:rPr>
        <w:t xml:space="preserve"> </w:t>
      </w:r>
      <w:r w:rsidR="00B84849">
        <w:rPr>
          <w:rFonts w:ascii="Times New Roman" w:eastAsia="Calibri" w:hAnsi="Times New Roman" w:cs="Times New Roman"/>
          <w:sz w:val="24"/>
          <w:szCs w:val="24"/>
        </w:rPr>
        <w:t>However, in order for the CDC and other organizations such as the AAP and ADA to improve and sustain surveillance of periodontal disease, larger survey studies should be conducted to obtain a more accurate representation of what is being</w:t>
      </w:r>
      <w:r w:rsidR="00672E52">
        <w:rPr>
          <w:rFonts w:ascii="Times New Roman" w:eastAsia="Calibri" w:hAnsi="Times New Roman" w:cs="Times New Roman"/>
          <w:sz w:val="24"/>
          <w:szCs w:val="24"/>
        </w:rPr>
        <w:t xml:space="preserve"> practiced by dental hygienists</w:t>
      </w:r>
      <w:r w:rsidR="00B84849">
        <w:rPr>
          <w:rFonts w:ascii="Times New Roman" w:eastAsia="Calibri" w:hAnsi="Times New Roman" w:cs="Times New Roman"/>
          <w:sz w:val="24"/>
          <w:szCs w:val="24"/>
        </w:rPr>
        <w:t xml:space="preserve"> nationally. </w:t>
      </w:r>
    </w:p>
    <w:p w:rsidR="0053057C" w:rsidRPr="00D777D6" w:rsidRDefault="00B201ED" w:rsidP="00B84849">
      <w:pPr>
        <w:spacing w:line="480" w:lineRule="auto"/>
        <w:ind w:firstLine="720"/>
        <w:contextualSpacing/>
        <w:rPr>
          <w:rFonts w:ascii="Times New Roman" w:eastAsia="Calibri" w:hAnsi="Times New Roman" w:cs="Times New Roman"/>
          <w:color w:val="FF0000"/>
          <w:sz w:val="24"/>
          <w:szCs w:val="24"/>
        </w:rPr>
      </w:pPr>
      <w:r>
        <w:rPr>
          <w:rFonts w:ascii="Times New Roman" w:eastAsia="Calibri" w:hAnsi="Times New Roman" w:cs="Times New Roman"/>
          <w:sz w:val="24"/>
          <w:szCs w:val="24"/>
        </w:rPr>
        <w:lastRenderedPageBreak/>
        <w:t xml:space="preserve">The results of this study also revealed relationships between </w:t>
      </w:r>
      <w:r w:rsidR="00B84849">
        <w:rPr>
          <w:rFonts w:ascii="Times New Roman" w:eastAsia="Calibri" w:hAnsi="Times New Roman" w:cs="Times New Roman"/>
          <w:sz w:val="24"/>
          <w:szCs w:val="24"/>
        </w:rPr>
        <w:t xml:space="preserve">employment </w:t>
      </w:r>
      <w:proofErr w:type="gramStart"/>
      <w:r w:rsidR="00B84849">
        <w:rPr>
          <w:rFonts w:ascii="Times New Roman" w:eastAsia="Calibri" w:hAnsi="Times New Roman" w:cs="Times New Roman"/>
          <w:sz w:val="24"/>
          <w:szCs w:val="24"/>
        </w:rPr>
        <w:t>status</w:t>
      </w:r>
      <w:proofErr w:type="gramEnd"/>
      <w:r w:rsidR="00B84849">
        <w:rPr>
          <w:rFonts w:ascii="Times New Roman" w:eastAsia="Calibri" w:hAnsi="Times New Roman" w:cs="Times New Roman"/>
          <w:sz w:val="24"/>
          <w:szCs w:val="24"/>
        </w:rPr>
        <w:t>,</w:t>
      </w:r>
      <w:r w:rsidR="00672E52">
        <w:rPr>
          <w:rFonts w:ascii="Times New Roman" w:eastAsia="Calibri" w:hAnsi="Times New Roman" w:cs="Times New Roman"/>
          <w:sz w:val="24"/>
          <w:szCs w:val="24"/>
        </w:rPr>
        <w:t xml:space="preserve"> number of hours worked per week, education levels and</w:t>
      </w:r>
      <w:r>
        <w:rPr>
          <w:rFonts w:ascii="Times New Roman" w:eastAsia="Calibri" w:hAnsi="Times New Roman" w:cs="Times New Roman"/>
          <w:sz w:val="24"/>
          <w:szCs w:val="24"/>
        </w:rPr>
        <w:t xml:space="preserve"> many of the periodontal assessment procedures performed by Indiana dental hygienists. </w:t>
      </w:r>
      <w:r w:rsidR="00DF3239">
        <w:rPr>
          <w:rFonts w:ascii="Times New Roman" w:eastAsia="Calibri" w:hAnsi="Times New Roman" w:cs="Times New Roman"/>
          <w:sz w:val="24"/>
          <w:szCs w:val="24"/>
        </w:rPr>
        <w:t xml:space="preserve"> </w:t>
      </w:r>
      <w:r w:rsidR="00020A8D">
        <w:rPr>
          <w:rFonts w:ascii="Times New Roman" w:eastAsia="Calibri" w:hAnsi="Times New Roman" w:cs="Times New Roman"/>
          <w:sz w:val="24"/>
          <w:szCs w:val="24"/>
        </w:rPr>
        <w:t xml:space="preserve">Although further research is necessary to validate this information, </w:t>
      </w:r>
      <w:r w:rsidR="001264D5">
        <w:rPr>
          <w:rFonts w:ascii="Times New Roman" w:eastAsia="Calibri" w:hAnsi="Times New Roman" w:cs="Times New Roman"/>
          <w:sz w:val="24"/>
          <w:szCs w:val="24"/>
        </w:rPr>
        <w:t>these results</w:t>
      </w:r>
      <w:r w:rsidR="00B84849">
        <w:rPr>
          <w:rFonts w:ascii="Times New Roman" w:eastAsia="Calibri" w:hAnsi="Times New Roman" w:cs="Times New Roman"/>
          <w:sz w:val="24"/>
          <w:szCs w:val="24"/>
        </w:rPr>
        <w:t xml:space="preserve"> </w:t>
      </w:r>
      <w:r w:rsidR="001264D5">
        <w:rPr>
          <w:rFonts w:ascii="Times New Roman" w:eastAsia="Calibri" w:hAnsi="Times New Roman" w:cs="Times New Roman"/>
          <w:sz w:val="24"/>
          <w:szCs w:val="24"/>
        </w:rPr>
        <w:t>give</w:t>
      </w:r>
      <w:r w:rsidR="00B84849">
        <w:rPr>
          <w:rFonts w:ascii="Times New Roman" w:eastAsia="Calibri" w:hAnsi="Times New Roman" w:cs="Times New Roman"/>
          <w:sz w:val="24"/>
          <w:szCs w:val="24"/>
        </w:rPr>
        <w:t xml:space="preserve"> insight to what factors may influence hygienists to perform the recomm</w:t>
      </w:r>
      <w:r w:rsidR="00020A8D">
        <w:rPr>
          <w:rFonts w:ascii="Times New Roman" w:eastAsia="Calibri" w:hAnsi="Times New Roman" w:cs="Times New Roman"/>
          <w:sz w:val="24"/>
          <w:szCs w:val="24"/>
        </w:rPr>
        <w:t>ended AAP assessment procedures</w:t>
      </w:r>
      <w:r w:rsidR="001264D5">
        <w:rPr>
          <w:rFonts w:ascii="Times New Roman" w:eastAsia="Calibri" w:hAnsi="Times New Roman" w:cs="Times New Roman"/>
          <w:sz w:val="24"/>
          <w:szCs w:val="24"/>
        </w:rPr>
        <w:t xml:space="preserve"> necessary to accurately assess and diagnose periodontal disease. </w:t>
      </w:r>
    </w:p>
    <w:p w:rsidR="006E3B45" w:rsidRDefault="006E3B45" w:rsidP="006E3B45">
      <w:pPr>
        <w:spacing w:line="480" w:lineRule="auto"/>
        <w:contextualSpacing/>
        <w:rPr>
          <w:rFonts w:ascii="Times New Roman" w:eastAsia="Calibri" w:hAnsi="Times New Roman" w:cs="Times New Roman"/>
          <w:b/>
          <w:sz w:val="24"/>
          <w:szCs w:val="24"/>
        </w:rPr>
      </w:pPr>
      <w:r w:rsidRPr="006E3B45">
        <w:rPr>
          <w:rFonts w:ascii="Times New Roman" w:eastAsia="Calibri" w:hAnsi="Times New Roman" w:cs="Times New Roman"/>
          <w:b/>
          <w:sz w:val="24"/>
          <w:szCs w:val="24"/>
        </w:rPr>
        <w:t>ACKNOWLEDGEMENTS</w:t>
      </w:r>
    </w:p>
    <w:p w:rsidR="006E3B45" w:rsidRPr="006E3B45" w:rsidRDefault="006E3B45" w:rsidP="006E3B45">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ab/>
      </w:r>
      <w:r w:rsidR="007A0F4F" w:rsidRPr="002446D3">
        <w:rPr>
          <w:rFonts w:ascii="Times New Roman" w:eastAsia="Calibri" w:hAnsi="Times New Roman" w:cs="Times New Roman"/>
          <w:sz w:val="24"/>
          <w:szCs w:val="24"/>
        </w:rPr>
        <w:t xml:space="preserve">The author would like acknowledge and thank </w:t>
      </w:r>
      <w:r w:rsidR="00DC1D1F" w:rsidRPr="002446D3">
        <w:rPr>
          <w:rFonts w:ascii="Times New Roman" w:eastAsia="Calibri" w:hAnsi="Times New Roman" w:cs="Times New Roman"/>
          <w:sz w:val="24"/>
          <w:szCs w:val="24"/>
        </w:rPr>
        <w:t xml:space="preserve">her supervising thesis committee, Mary Jacks, </w:t>
      </w:r>
      <w:r w:rsidR="007A0F4F" w:rsidRPr="002446D3">
        <w:rPr>
          <w:rFonts w:ascii="Times New Roman" w:eastAsia="Calibri" w:hAnsi="Times New Roman" w:cs="Times New Roman"/>
          <w:sz w:val="24"/>
          <w:szCs w:val="24"/>
        </w:rPr>
        <w:t>Chair;</w:t>
      </w:r>
      <w:r w:rsidR="00DC1D1F" w:rsidRPr="002446D3">
        <w:rPr>
          <w:rFonts w:ascii="Times New Roman" w:eastAsia="Calibri" w:hAnsi="Times New Roman" w:cs="Times New Roman"/>
          <w:sz w:val="24"/>
          <w:szCs w:val="24"/>
        </w:rPr>
        <w:t xml:space="preserve"> Rebecca Wrig</w:t>
      </w:r>
      <w:r w:rsidR="007A0F4F" w:rsidRPr="002446D3">
        <w:rPr>
          <w:rFonts w:ascii="Times New Roman" w:eastAsia="Calibri" w:hAnsi="Times New Roman" w:cs="Times New Roman"/>
          <w:sz w:val="24"/>
          <w:szCs w:val="24"/>
        </w:rPr>
        <w:t>ht;</w:t>
      </w:r>
      <w:r w:rsidR="00DC1D1F" w:rsidRPr="002446D3">
        <w:rPr>
          <w:rFonts w:ascii="Times New Roman" w:eastAsia="Calibri" w:hAnsi="Times New Roman" w:cs="Times New Roman"/>
          <w:sz w:val="24"/>
          <w:szCs w:val="24"/>
        </w:rPr>
        <w:t xml:space="preserve"> Mary Cooper</w:t>
      </w:r>
      <w:r w:rsidR="007A0F4F" w:rsidRPr="002446D3">
        <w:rPr>
          <w:rFonts w:ascii="Times New Roman" w:eastAsia="Calibri" w:hAnsi="Times New Roman" w:cs="Times New Roman"/>
          <w:sz w:val="24"/>
          <w:szCs w:val="24"/>
        </w:rPr>
        <w:t>;</w:t>
      </w:r>
      <w:r w:rsidR="00DC1D1F" w:rsidRPr="002446D3">
        <w:rPr>
          <w:rFonts w:ascii="Times New Roman" w:eastAsia="Calibri" w:hAnsi="Times New Roman" w:cs="Times New Roman"/>
          <w:sz w:val="24"/>
          <w:szCs w:val="24"/>
        </w:rPr>
        <w:t xml:space="preserve"> and Nancy Mann. This project would not have been possible without their </w:t>
      </w:r>
      <w:r w:rsidR="007A0F4F" w:rsidRPr="002446D3">
        <w:rPr>
          <w:rFonts w:ascii="Times New Roman" w:eastAsia="Calibri" w:hAnsi="Times New Roman" w:cs="Times New Roman"/>
          <w:sz w:val="24"/>
          <w:szCs w:val="24"/>
        </w:rPr>
        <w:t xml:space="preserve">expertise, </w:t>
      </w:r>
      <w:r w:rsidR="00DC1D1F" w:rsidRPr="002446D3">
        <w:rPr>
          <w:rFonts w:ascii="Times New Roman" w:eastAsia="Calibri" w:hAnsi="Times New Roman" w:cs="Times New Roman"/>
          <w:sz w:val="24"/>
          <w:szCs w:val="24"/>
        </w:rPr>
        <w:t>continuous support, encouragement, and editori</w:t>
      </w:r>
      <w:r w:rsidR="007A0F4F" w:rsidRPr="002446D3">
        <w:rPr>
          <w:rFonts w:ascii="Times New Roman" w:eastAsia="Calibri" w:hAnsi="Times New Roman" w:cs="Times New Roman"/>
          <w:sz w:val="24"/>
          <w:szCs w:val="24"/>
        </w:rPr>
        <w:t xml:space="preserve">al efforts.  Deepest thanks are given to the survey participants for their contributions.  The author expresses her most sincere </w:t>
      </w:r>
      <w:r w:rsidR="00DC1D1F" w:rsidRPr="002446D3">
        <w:rPr>
          <w:rFonts w:ascii="Times New Roman" w:eastAsia="Calibri" w:hAnsi="Times New Roman" w:cs="Times New Roman"/>
          <w:sz w:val="24"/>
          <w:szCs w:val="24"/>
        </w:rPr>
        <w:t xml:space="preserve">appreciation </w:t>
      </w:r>
      <w:r w:rsidR="007A0F4F" w:rsidRPr="002446D3">
        <w:rPr>
          <w:rFonts w:ascii="Times New Roman" w:eastAsia="Calibri" w:hAnsi="Times New Roman" w:cs="Times New Roman"/>
          <w:sz w:val="24"/>
          <w:szCs w:val="24"/>
        </w:rPr>
        <w:t xml:space="preserve">for </w:t>
      </w:r>
      <w:r w:rsidR="00DC1D1F" w:rsidRPr="002446D3">
        <w:rPr>
          <w:rFonts w:ascii="Times New Roman" w:eastAsia="Calibri" w:hAnsi="Times New Roman" w:cs="Times New Roman"/>
          <w:sz w:val="24"/>
          <w:szCs w:val="24"/>
        </w:rPr>
        <w:t>her husb</w:t>
      </w:r>
      <w:r w:rsidR="007A0F4F" w:rsidRPr="002446D3">
        <w:rPr>
          <w:rFonts w:ascii="Times New Roman" w:eastAsia="Calibri" w:hAnsi="Times New Roman" w:cs="Times New Roman"/>
          <w:sz w:val="24"/>
          <w:szCs w:val="24"/>
        </w:rPr>
        <w:t>and, Mark, for his love</w:t>
      </w:r>
      <w:r w:rsidR="00DC1D1F" w:rsidRPr="002446D3">
        <w:rPr>
          <w:rFonts w:ascii="Times New Roman" w:eastAsia="Calibri" w:hAnsi="Times New Roman" w:cs="Times New Roman"/>
          <w:sz w:val="24"/>
          <w:szCs w:val="24"/>
        </w:rPr>
        <w:t>,</w:t>
      </w:r>
      <w:r w:rsidR="007A0F4F" w:rsidRPr="002446D3">
        <w:rPr>
          <w:rFonts w:ascii="Times New Roman" w:eastAsia="Calibri" w:hAnsi="Times New Roman" w:cs="Times New Roman"/>
          <w:sz w:val="24"/>
          <w:szCs w:val="24"/>
        </w:rPr>
        <w:t xml:space="preserve"> support,</w:t>
      </w:r>
      <w:r w:rsidR="00DC1D1F" w:rsidRPr="002446D3">
        <w:rPr>
          <w:rFonts w:ascii="Times New Roman" w:eastAsia="Calibri" w:hAnsi="Times New Roman" w:cs="Times New Roman"/>
          <w:sz w:val="24"/>
          <w:szCs w:val="24"/>
        </w:rPr>
        <w:t xml:space="preserve"> and patience as she tirelessly worked through this project during the first year of their marriage.  </w:t>
      </w:r>
    </w:p>
    <w:p w:rsidR="006E3B45" w:rsidRPr="006E3B45" w:rsidRDefault="006E3B45" w:rsidP="006E3B45">
      <w:pPr>
        <w:spacing w:line="480" w:lineRule="auto"/>
        <w:contextualSpacing/>
        <w:rPr>
          <w:rFonts w:ascii="Times New Roman" w:eastAsia="Calibri" w:hAnsi="Times New Roman" w:cs="Times New Roman"/>
          <w:b/>
          <w:sz w:val="24"/>
          <w:szCs w:val="24"/>
        </w:rPr>
      </w:pPr>
    </w:p>
    <w:p w:rsidR="00AF5E8A" w:rsidRDefault="00AF5E8A" w:rsidP="00AF5E8A">
      <w:pPr>
        <w:spacing w:line="480" w:lineRule="auto"/>
        <w:contextualSpacing/>
        <w:rPr>
          <w:rFonts w:ascii="Times New Roman" w:eastAsia="Calibri" w:hAnsi="Times New Roman" w:cs="Times New Roman"/>
          <w:sz w:val="24"/>
          <w:szCs w:val="24"/>
        </w:rPr>
      </w:pPr>
    </w:p>
    <w:p w:rsidR="00356CFC" w:rsidRDefault="00356CFC" w:rsidP="005D224A">
      <w:pPr>
        <w:spacing w:line="480" w:lineRule="auto"/>
        <w:contextualSpacing/>
        <w:rPr>
          <w:rFonts w:ascii="Times New Roman" w:eastAsia="Times New Roman" w:hAnsi="Times New Roman" w:cs="Times New Roman"/>
          <w:b/>
          <w:sz w:val="18"/>
          <w:szCs w:val="24"/>
        </w:rPr>
      </w:pPr>
    </w:p>
    <w:p w:rsidR="00356CFC" w:rsidRDefault="00356CFC" w:rsidP="005D224A">
      <w:pPr>
        <w:spacing w:line="480" w:lineRule="auto"/>
        <w:contextualSpacing/>
        <w:rPr>
          <w:rFonts w:ascii="Times New Roman" w:eastAsia="Times New Roman" w:hAnsi="Times New Roman" w:cs="Times New Roman"/>
          <w:b/>
          <w:sz w:val="18"/>
          <w:szCs w:val="24"/>
        </w:rPr>
      </w:pPr>
    </w:p>
    <w:p w:rsidR="00843F23" w:rsidRDefault="00843F23" w:rsidP="005D224A">
      <w:pPr>
        <w:spacing w:line="480" w:lineRule="auto"/>
        <w:contextualSpacing/>
        <w:rPr>
          <w:rFonts w:ascii="Times New Roman" w:eastAsia="Times New Roman" w:hAnsi="Times New Roman" w:cs="Times New Roman"/>
          <w:b/>
          <w:sz w:val="18"/>
          <w:szCs w:val="24"/>
        </w:rPr>
      </w:pPr>
    </w:p>
    <w:p w:rsidR="00843F23" w:rsidRDefault="00843F23" w:rsidP="005D224A">
      <w:pPr>
        <w:spacing w:line="480" w:lineRule="auto"/>
        <w:contextualSpacing/>
        <w:rPr>
          <w:rFonts w:ascii="Times New Roman" w:eastAsia="Times New Roman" w:hAnsi="Times New Roman" w:cs="Times New Roman"/>
          <w:b/>
          <w:sz w:val="18"/>
          <w:szCs w:val="24"/>
        </w:rPr>
      </w:pPr>
    </w:p>
    <w:p w:rsidR="00843F23" w:rsidRDefault="00843F23" w:rsidP="005D224A">
      <w:pPr>
        <w:spacing w:line="480" w:lineRule="auto"/>
        <w:contextualSpacing/>
        <w:rPr>
          <w:rFonts w:ascii="Times New Roman" w:eastAsia="Times New Roman" w:hAnsi="Times New Roman" w:cs="Times New Roman"/>
          <w:b/>
          <w:sz w:val="18"/>
          <w:szCs w:val="24"/>
        </w:rPr>
      </w:pPr>
    </w:p>
    <w:p w:rsidR="00C85E67" w:rsidRPr="00C85E67" w:rsidRDefault="00C85E67" w:rsidP="005D224A">
      <w:pPr>
        <w:spacing w:line="480" w:lineRule="auto"/>
        <w:contextualSpacing/>
        <w:rPr>
          <w:rFonts w:ascii="Times New Roman" w:eastAsia="Times New Roman" w:hAnsi="Times New Roman" w:cs="Times New Roman"/>
          <w:b/>
          <w:sz w:val="18"/>
          <w:szCs w:val="24"/>
        </w:rPr>
      </w:pPr>
    </w:p>
    <w:p w:rsidR="00AC3A01" w:rsidRDefault="00AC3A01" w:rsidP="008C1387">
      <w:pPr>
        <w:spacing w:line="240" w:lineRule="auto"/>
        <w:contextualSpacing/>
        <w:rPr>
          <w:rFonts w:ascii="Times New Roman" w:eastAsia="Times New Roman" w:hAnsi="Times New Roman" w:cs="Times New Roman"/>
          <w:b/>
          <w:sz w:val="18"/>
          <w:szCs w:val="24"/>
        </w:rPr>
      </w:pPr>
    </w:p>
    <w:p w:rsidR="00C9078A" w:rsidRDefault="00C9078A" w:rsidP="008C1387">
      <w:pPr>
        <w:spacing w:line="240" w:lineRule="auto"/>
        <w:contextualSpacing/>
        <w:rPr>
          <w:rFonts w:ascii="Times New Roman" w:eastAsia="Times New Roman" w:hAnsi="Times New Roman" w:cs="Times New Roman"/>
          <w:b/>
          <w:sz w:val="18"/>
          <w:szCs w:val="24"/>
        </w:rPr>
      </w:pPr>
    </w:p>
    <w:p w:rsidR="00C9078A" w:rsidRDefault="00C9078A" w:rsidP="008C1387">
      <w:pPr>
        <w:spacing w:line="240" w:lineRule="auto"/>
        <w:contextualSpacing/>
        <w:rPr>
          <w:rFonts w:ascii="Times New Roman" w:eastAsia="Times New Roman" w:hAnsi="Times New Roman" w:cs="Times New Roman"/>
          <w:b/>
          <w:sz w:val="18"/>
          <w:szCs w:val="24"/>
        </w:rPr>
      </w:pPr>
    </w:p>
    <w:p w:rsidR="00C9078A" w:rsidRDefault="00C9078A" w:rsidP="008C1387">
      <w:pPr>
        <w:spacing w:line="240" w:lineRule="auto"/>
        <w:contextualSpacing/>
        <w:rPr>
          <w:rFonts w:ascii="Times New Roman" w:eastAsia="Times New Roman" w:hAnsi="Times New Roman" w:cs="Times New Roman"/>
          <w:b/>
          <w:sz w:val="18"/>
          <w:szCs w:val="24"/>
        </w:rPr>
      </w:pPr>
    </w:p>
    <w:p w:rsidR="00C9078A" w:rsidRDefault="00C9078A" w:rsidP="008C1387">
      <w:pPr>
        <w:spacing w:line="240" w:lineRule="auto"/>
        <w:contextualSpacing/>
        <w:rPr>
          <w:rFonts w:ascii="Times New Roman" w:eastAsia="Times New Roman" w:hAnsi="Times New Roman" w:cs="Times New Roman"/>
          <w:b/>
          <w:sz w:val="18"/>
          <w:szCs w:val="24"/>
        </w:rPr>
      </w:pPr>
    </w:p>
    <w:p w:rsidR="00C9078A" w:rsidRDefault="00C9078A" w:rsidP="008C1387">
      <w:pPr>
        <w:spacing w:line="240" w:lineRule="auto"/>
        <w:contextualSpacing/>
        <w:rPr>
          <w:rFonts w:ascii="Times New Roman" w:eastAsia="Times New Roman" w:hAnsi="Times New Roman" w:cs="Times New Roman"/>
          <w:b/>
          <w:sz w:val="18"/>
          <w:szCs w:val="24"/>
        </w:rPr>
      </w:pPr>
    </w:p>
    <w:p w:rsidR="00C9078A" w:rsidRDefault="00C9078A" w:rsidP="008C1387">
      <w:pPr>
        <w:spacing w:line="240" w:lineRule="auto"/>
        <w:contextualSpacing/>
        <w:rPr>
          <w:rFonts w:ascii="Times New Roman" w:eastAsia="Times New Roman" w:hAnsi="Times New Roman" w:cs="Times New Roman"/>
          <w:b/>
          <w:sz w:val="18"/>
          <w:szCs w:val="24"/>
        </w:rPr>
      </w:pPr>
    </w:p>
    <w:p w:rsidR="00C9078A" w:rsidRDefault="00C9078A" w:rsidP="008C1387">
      <w:pPr>
        <w:spacing w:line="240" w:lineRule="auto"/>
        <w:contextualSpacing/>
        <w:rPr>
          <w:rFonts w:ascii="Times New Roman" w:eastAsia="Times New Roman" w:hAnsi="Times New Roman" w:cs="Times New Roman"/>
          <w:b/>
          <w:sz w:val="18"/>
          <w:szCs w:val="24"/>
        </w:rPr>
      </w:pPr>
    </w:p>
    <w:p w:rsidR="00C9078A" w:rsidRDefault="00C9078A" w:rsidP="008C1387">
      <w:pPr>
        <w:spacing w:line="240" w:lineRule="auto"/>
        <w:contextualSpacing/>
        <w:rPr>
          <w:rFonts w:ascii="Times New Roman" w:eastAsia="Times New Roman" w:hAnsi="Times New Roman" w:cs="Times New Roman"/>
          <w:b/>
          <w:sz w:val="18"/>
          <w:szCs w:val="24"/>
        </w:rPr>
      </w:pPr>
    </w:p>
    <w:p w:rsidR="00C9078A" w:rsidRDefault="00C9078A" w:rsidP="008C1387">
      <w:pPr>
        <w:spacing w:line="240" w:lineRule="auto"/>
        <w:contextualSpacing/>
        <w:rPr>
          <w:rFonts w:ascii="Times New Roman" w:eastAsia="Times New Roman" w:hAnsi="Times New Roman" w:cs="Times New Roman"/>
          <w:b/>
          <w:sz w:val="18"/>
          <w:szCs w:val="24"/>
        </w:rPr>
      </w:pPr>
    </w:p>
    <w:p w:rsidR="00C9078A" w:rsidRDefault="00C9078A" w:rsidP="008C1387">
      <w:pPr>
        <w:spacing w:line="240" w:lineRule="auto"/>
        <w:contextualSpacing/>
        <w:rPr>
          <w:rFonts w:ascii="Times New Roman" w:eastAsia="Times New Roman" w:hAnsi="Times New Roman" w:cs="Times New Roman"/>
          <w:b/>
          <w:sz w:val="18"/>
          <w:szCs w:val="24"/>
        </w:rPr>
      </w:pPr>
    </w:p>
    <w:p w:rsidR="001A283D" w:rsidRPr="00356CFC" w:rsidRDefault="001A283D" w:rsidP="001A283D">
      <w:pPr>
        <w:jc w:val="center"/>
        <w:rPr>
          <w:rFonts w:ascii="Times New Roman" w:eastAsia="Calibri" w:hAnsi="Times New Roman" w:cs="Times New Roman"/>
          <w:b/>
          <w:sz w:val="24"/>
          <w:szCs w:val="16"/>
        </w:rPr>
      </w:pPr>
      <w:r w:rsidRPr="00356CFC">
        <w:rPr>
          <w:rFonts w:ascii="Times New Roman" w:eastAsia="Calibri" w:hAnsi="Times New Roman" w:cs="Times New Roman"/>
          <w:b/>
          <w:sz w:val="24"/>
          <w:szCs w:val="16"/>
        </w:rPr>
        <w:t>References</w:t>
      </w:r>
    </w:p>
    <w:p w:rsidR="001A283D" w:rsidRPr="00356CFC" w:rsidRDefault="001A283D" w:rsidP="001A283D">
      <w:pPr>
        <w:spacing w:line="240" w:lineRule="auto"/>
        <w:ind w:firstLine="720"/>
        <w:contextualSpacing/>
        <w:rPr>
          <w:rFonts w:ascii="Times New Roman" w:eastAsia="Times New Roman" w:hAnsi="Times New Roman" w:cs="Times New Roman"/>
          <w:sz w:val="24"/>
          <w:szCs w:val="24"/>
        </w:rPr>
      </w:pPr>
    </w:p>
    <w:p w:rsidR="001A283D" w:rsidRDefault="001A283D" w:rsidP="00EB4296">
      <w:pPr>
        <w:spacing w:line="480" w:lineRule="auto"/>
        <w:contextualSpacing/>
        <w:rPr>
          <w:rFonts w:ascii="Times New Roman" w:eastAsia="Calibri" w:hAnsi="Times New Roman" w:cs="Times New Roman"/>
          <w:sz w:val="24"/>
          <w:szCs w:val="16"/>
        </w:rPr>
      </w:pPr>
      <w:r>
        <w:rPr>
          <w:rFonts w:ascii="Times New Roman" w:eastAsia="Calibri" w:hAnsi="Times New Roman" w:cs="Times New Roman"/>
          <w:sz w:val="24"/>
          <w:szCs w:val="16"/>
        </w:rPr>
        <w:t xml:space="preserve">1. </w:t>
      </w:r>
      <w:r w:rsidRPr="00356CFC">
        <w:rPr>
          <w:rFonts w:ascii="Times New Roman" w:eastAsia="Calibri" w:hAnsi="Times New Roman" w:cs="Times New Roman"/>
          <w:sz w:val="24"/>
          <w:szCs w:val="16"/>
        </w:rPr>
        <w:t xml:space="preserve">Clem, D. (2011). </w:t>
      </w:r>
      <w:proofErr w:type="gramStart"/>
      <w:r w:rsidRPr="00356CFC">
        <w:rPr>
          <w:rFonts w:ascii="Times New Roman" w:eastAsia="Calibri" w:hAnsi="Times New Roman" w:cs="Times New Roman"/>
          <w:sz w:val="24"/>
          <w:szCs w:val="16"/>
        </w:rPr>
        <w:t>Navigating the Clinical Road Map.</w:t>
      </w:r>
      <w:proofErr w:type="gramEnd"/>
      <w:r w:rsidRPr="00356CFC">
        <w:rPr>
          <w:rFonts w:ascii="Times New Roman" w:eastAsia="Calibri" w:hAnsi="Times New Roman" w:cs="Times New Roman"/>
          <w:sz w:val="24"/>
          <w:szCs w:val="16"/>
        </w:rPr>
        <w:t xml:space="preserve"> </w:t>
      </w:r>
      <w:r w:rsidRPr="00356CFC">
        <w:rPr>
          <w:rFonts w:ascii="Times New Roman" w:eastAsia="Calibri" w:hAnsi="Times New Roman" w:cs="Times New Roman"/>
          <w:i/>
          <w:sz w:val="24"/>
          <w:szCs w:val="16"/>
        </w:rPr>
        <w:t>Dimensions of Dental Hygiene</w:t>
      </w:r>
      <w:r w:rsidRPr="00356CFC">
        <w:rPr>
          <w:rFonts w:ascii="Times New Roman" w:eastAsia="Calibri" w:hAnsi="Times New Roman" w:cs="Times New Roman"/>
          <w:sz w:val="24"/>
          <w:szCs w:val="16"/>
        </w:rPr>
        <w:t xml:space="preserve">, </w:t>
      </w:r>
      <w:r w:rsidRPr="00356CFC">
        <w:rPr>
          <w:rFonts w:ascii="Times New Roman" w:eastAsia="Calibri" w:hAnsi="Times New Roman" w:cs="Times New Roman"/>
          <w:i/>
          <w:sz w:val="24"/>
          <w:szCs w:val="16"/>
        </w:rPr>
        <w:t>9</w:t>
      </w:r>
      <w:r w:rsidRPr="00356CFC">
        <w:rPr>
          <w:rFonts w:ascii="Times New Roman" w:eastAsia="Calibri" w:hAnsi="Times New Roman" w:cs="Times New Roman"/>
          <w:sz w:val="24"/>
          <w:szCs w:val="16"/>
        </w:rPr>
        <w:t xml:space="preserve">(11), </w:t>
      </w:r>
    </w:p>
    <w:p w:rsidR="001A283D" w:rsidRDefault="001A283D" w:rsidP="00EB4296">
      <w:pPr>
        <w:spacing w:line="480" w:lineRule="auto"/>
        <w:ind w:firstLine="720"/>
        <w:contextualSpacing/>
        <w:rPr>
          <w:rFonts w:ascii="Times New Roman" w:eastAsia="Calibri" w:hAnsi="Times New Roman" w:cs="Times New Roman"/>
          <w:sz w:val="24"/>
          <w:szCs w:val="16"/>
        </w:rPr>
      </w:pPr>
      <w:proofErr w:type="gramStart"/>
      <w:r w:rsidRPr="00356CFC">
        <w:rPr>
          <w:rFonts w:ascii="Times New Roman" w:eastAsia="Calibri" w:hAnsi="Times New Roman" w:cs="Times New Roman"/>
          <w:sz w:val="24"/>
          <w:szCs w:val="16"/>
        </w:rPr>
        <w:t>22-25.</w:t>
      </w:r>
      <w:proofErr w:type="gramEnd"/>
      <w:r w:rsidRPr="00356CFC">
        <w:rPr>
          <w:rFonts w:ascii="Times New Roman" w:eastAsia="Calibri" w:hAnsi="Times New Roman" w:cs="Times New Roman"/>
          <w:sz w:val="24"/>
          <w:szCs w:val="16"/>
        </w:rPr>
        <w:t xml:space="preserve"> </w:t>
      </w:r>
    </w:p>
    <w:p w:rsidR="001A283D" w:rsidRDefault="001A283D"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 xml:space="preserve">2. </w:t>
      </w:r>
      <w:r w:rsidRPr="00356CFC">
        <w:rPr>
          <w:rFonts w:ascii="Times New Roman" w:eastAsia="Calibri" w:hAnsi="Times New Roman" w:cs="Times New Roman"/>
          <w:noProof/>
          <w:sz w:val="24"/>
          <w:szCs w:val="16"/>
        </w:rPr>
        <w:t xml:space="preserve">Sweeting, L., Davis, K., &amp; Cobb, C. (2008). Periodontal treatement protocol (PTP) for the general dental practice. </w:t>
      </w:r>
      <w:r w:rsidRPr="00356CFC">
        <w:rPr>
          <w:rFonts w:ascii="Times New Roman" w:eastAsia="Calibri" w:hAnsi="Times New Roman" w:cs="Times New Roman"/>
          <w:i/>
          <w:iCs/>
          <w:noProof/>
          <w:sz w:val="24"/>
          <w:szCs w:val="16"/>
        </w:rPr>
        <w:t>Journal of Dental Hygiene, 83(6)supplement</w:t>
      </w:r>
      <w:r w:rsidRPr="00356CFC">
        <w:rPr>
          <w:rFonts w:ascii="Times New Roman" w:eastAsia="Calibri" w:hAnsi="Times New Roman" w:cs="Times New Roman"/>
          <w:noProof/>
          <w:sz w:val="24"/>
          <w:szCs w:val="16"/>
        </w:rPr>
        <w:t>, 16-26. Retrieved October 2010</w:t>
      </w:r>
    </w:p>
    <w:p w:rsidR="001A283D" w:rsidRDefault="001A283D" w:rsidP="00EB4296">
      <w:pPr>
        <w:spacing w:line="480" w:lineRule="auto"/>
        <w:ind w:left="720" w:hanging="720"/>
        <w:contextualSpacing/>
        <w:rPr>
          <w:rFonts w:ascii="Times New Roman" w:eastAsia="Calibri" w:hAnsi="Times New Roman" w:cs="Times New Roman"/>
          <w:i/>
          <w:sz w:val="24"/>
          <w:szCs w:val="16"/>
        </w:rPr>
      </w:pPr>
      <w:proofErr w:type="gramStart"/>
      <w:r>
        <w:rPr>
          <w:rFonts w:ascii="Times New Roman" w:eastAsia="Calibri" w:hAnsi="Times New Roman" w:cs="Times New Roman"/>
          <w:sz w:val="24"/>
          <w:szCs w:val="16"/>
        </w:rPr>
        <w:t>3. American Academy of Periodontology (2013).</w:t>
      </w:r>
      <w:proofErr w:type="gramEnd"/>
      <w:r>
        <w:rPr>
          <w:rFonts w:ascii="Times New Roman" w:eastAsia="Calibri" w:hAnsi="Times New Roman" w:cs="Times New Roman"/>
          <w:sz w:val="24"/>
          <w:szCs w:val="16"/>
        </w:rPr>
        <w:t xml:space="preserve"> </w:t>
      </w:r>
      <w:r w:rsidRPr="00BC306D">
        <w:rPr>
          <w:rFonts w:ascii="Times New Roman" w:eastAsia="Calibri" w:hAnsi="Times New Roman" w:cs="Times New Roman"/>
          <w:i/>
          <w:sz w:val="24"/>
          <w:szCs w:val="16"/>
        </w:rPr>
        <w:t>Behind a beautiful smile may lurk</w:t>
      </w:r>
      <w:r>
        <w:rPr>
          <w:rFonts w:ascii="Times New Roman" w:eastAsia="Calibri" w:hAnsi="Times New Roman" w:cs="Times New Roman"/>
          <w:i/>
          <w:sz w:val="24"/>
          <w:szCs w:val="16"/>
        </w:rPr>
        <w:t xml:space="preserve"> a silent </w:t>
      </w:r>
    </w:p>
    <w:p w:rsidR="001A283D" w:rsidRPr="00BC306D" w:rsidRDefault="001A283D" w:rsidP="00EB4296">
      <w:pPr>
        <w:spacing w:line="480" w:lineRule="auto"/>
        <w:ind w:firstLine="720"/>
        <w:contextualSpacing/>
        <w:rPr>
          <w:rFonts w:ascii="Times New Roman" w:eastAsia="Calibri" w:hAnsi="Times New Roman" w:cs="Times New Roman"/>
          <w:sz w:val="24"/>
          <w:szCs w:val="16"/>
        </w:rPr>
      </w:pPr>
      <w:proofErr w:type="gramStart"/>
      <w:r>
        <w:rPr>
          <w:rFonts w:ascii="Times New Roman" w:eastAsia="Calibri" w:hAnsi="Times New Roman" w:cs="Times New Roman"/>
          <w:i/>
          <w:sz w:val="24"/>
          <w:szCs w:val="16"/>
        </w:rPr>
        <w:t>disease</w:t>
      </w:r>
      <w:proofErr w:type="gramEnd"/>
      <w:r>
        <w:rPr>
          <w:rFonts w:ascii="Times New Roman" w:eastAsia="Calibri" w:hAnsi="Times New Roman" w:cs="Times New Roman"/>
          <w:i/>
          <w:sz w:val="24"/>
          <w:szCs w:val="16"/>
        </w:rPr>
        <w:t>.</w:t>
      </w:r>
      <w:r>
        <w:rPr>
          <w:rFonts w:ascii="Times New Roman" w:eastAsia="Calibri" w:hAnsi="Times New Roman" w:cs="Times New Roman"/>
          <w:sz w:val="24"/>
          <w:szCs w:val="16"/>
        </w:rPr>
        <w:t xml:space="preserve">  </w:t>
      </w:r>
      <w:proofErr w:type="gramStart"/>
      <w:r>
        <w:rPr>
          <w:rFonts w:ascii="Times New Roman" w:eastAsia="Calibri" w:hAnsi="Times New Roman" w:cs="Times New Roman"/>
          <w:sz w:val="24"/>
          <w:szCs w:val="16"/>
        </w:rPr>
        <w:t xml:space="preserve">Retrieved from </w:t>
      </w:r>
      <w:hyperlink r:id="rId10" w:history="1">
        <w:r w:rsidRPr="00036AE1">
          <w:rPr>
            <w:rStyle w:val="Hyperlink"/>
            <w:rFonts w:ascii="Times New Roman" w:eastAsia="Calibri" w:hAnsi="Times New Roman" w:cs="Times New Roman"/>
            <w:sz w:val="24"/>
            <w:szCs w:val="16"/>
          </w:rPr>
          <w:t>http://www.perio.org/consumer/silent_disease</w:t>
        </w:r>
      </w:hyperlink>
      <w:r>
        <w:rPr>
          <w:rFonts w:ascii="Times New Roman" w:eastAsia="Calibri" w:hAnsi="Times New Roman" w:cs="Times New Roman"/>
          <w:sz w:val="24"/>
          <w:szCs w:val="16"/>
        </w:rPr>
        <w:t>.</w:t>
      </w:r>
      <w:proofErr w:type="gramEnd"/>
      <w:r>
        <w:rPr>
          <w:rFonts w:ascii="Times New Roman" w:eastAsia="Calibri" w:hAnsi="Times New Roman" w:cs="Times New Roman"/>
          <w:sz w:val="24"/>
          <w:szCs w:val="16"/>
        </w:rPr>
        <w:t xml:space="preserve"> </w:t>
      </w:r>
    </w:p>
    <w:p w:rsidR="001A283D" w:rsidRPr="00356CFC" w:rsidRDefault="001A283D"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 xml:space="preserve">4. </w:t>
      </w:r>
      <w:r w:rsidRPr="00356CFC">
        <w:rPr>
          <w:rFonts w:ascii="Times New Roman" w:eastAsia="Calibri" w:hAnsi="Times New Roman" w:cs="Times New Roman"/>
          <w:noProof/>
          <w:sz w:val="24"/>
          <w:szCs w:val="16"/>
        </w:rPr>
        <w:t xml:space="preserve">Eke, P., Dye, B., Wei, L., Thornton-Evans, G., &amp; Genco, R. (2012). Prevalence of periodontitis in adults in the United States: 2009 and 2010. </w:t>
      </w:r>
      <w:r w:rsidRPr="00356CFC">
        <w:rPr>
          <w:rFonts w:ascii="Times New Roman" w:eastAsia="Calibri" w:hAnsi="Times New Roman" w:cs="Times New Roman"/>
          <w:i/>
          <w:iCs/>
          <w:noProof/>
          <w:sz w:val="24"/>
          <w:szCs w:val="16"/>
        </w:rPr>
        <w:t>J Dent Res</w:t>
      </w:r>
      <w:r w:rsidRPr="00356CFC">
        <w:rPr>
          <w:rFonts w:ascii="Times New Roman" w:eastAsia="Calibri" w:hAnsi="Times New Roman" w:cs="Times New Roman"/>
          <w:noProof/>
          <w:sz w:val="24"/>
          <w:szCs w:val="16"/>
        </w:rPr>
        <w:t>, 1-7. doi:10.1177/0022034512457373</w:t>
      </w:r>
    </w:p>
    <w:p w:rsidR="00EB4296" w:rsidRDefault="001A283D" w:rsidP="00EB4296">
      <w:pPr>
        <w:spacing w:line="480" w:lineRule="auto"/>
        <w:contextualSpacing/>
        <w:rPr>
          <w:rFonts w:ascii="Times New Roman" w:eastAsia="Calibri" w:hAnsi="Times New Roman" w:cs="Times New Roman"/>
          <w:i/>
          <w:iCs/>
          <w:noProof/>
          <w:sz w:val="24"/>
          <w:szCs w:val="16"/>
        </w:rPr>
      </w:pPr>
      <w:r>
        <w:rPr>
          <w:rFonts w:ascii="Times New Roman" w:eastAsia="Calibri" w:hAnsi="Times New Roman" w:cs="Times New Roman"/>
          <w:sz w:val="24"/>
          <w:szCs w:val="24"/>
        </w:rPr>
        <w:t xml:space="preserve">5. </w:t>
      </w:r>
      <w:r w:rsidR="00EB4296" w:rsidRPr="00EB4296">
        <w:rPr>
          <w:rFonts w:ascii="Times New Roman" w:eastAsia="Calibri" w:hAnsi="Times New Roman" w:cs="Times New Roman"/>
          <w:noProof/>
          <w:sz w:val="24"/>
          <w:szCs w:val="16"/>
        </w:rPr>
        <w:t xml:space="preserve">Papapanou, P. (2012). The prevalence of periodontitis in the US: Forget what you were told. </w:t>
      </w:r>
      <w:r w:rsidR="00EB4296" w:rsidRPr="00EB4296">
        <w:rPr>
          <w:rFonts w:ascii="Times New Roman" w:eastAsia="Calibri" w:hAnsi="Times New Roman" w:cs="Times New Roman"/>
          <w:i/>
          <w:iCs/>
          <w:noProof/>
          <w:sz w:val="24"/>
          <w:szCs w:val="16"/>
        </w:rPr>
        <w:t xml:space="preserve">J </w:t>
      </w:r>
    </w:p>
    <w:p w:rsidR="00EB4296" w:rsidRPr="00EB4296" w:rsidRDefault="00EB4296" w:rsidP="00EB4296">
      <w:pPr>
        <w:spacing w:line="480" w:lineRule="auto"/>
        <w:ind w:firstLine="720"/>
        <w:contextualSpacing/>
        <w:rPr>
          <w:rFonts w:ascii="Times New Roman" w:eastAsia="Calibri" w:hAnsi="Times New Roman" w:cs="Times New Roman"/>
          <w:noProof/>
          <w:sz w:val="24"/>
          <w:szCs w:val="16"/>
        </w:rPr>
      </w:pPr>
      <w:r w:rsidRPr="00EB4296">
        <w:rPr>
          <w:rFonts w:ascii="Times New Roman" w:eastAsia="Calibri" w:hAnsi="Times New Roman" w:cs="Times New Roman"/>
          <w:i/>
          <w:iCs/>
          <w:noProof/>
          <w:sz w:val="24"/>
          <w:szCs w:val="16"/>
        </w:rPr>
        <w:t>Dent Res</w:t>
      </w:r>
      <w:r w:rsidRPr="00EB4296">
        <w:rPr>
          <w:rFonts w:ascii="Times New Roman" w:eastAsia="Calibri" w:hAnsi="Times New Roman" w:cs="Times New Roman"/>
          <w:noProof/>
          <w:sz w:val="24"/>
          <w:szCs w:val="16"/>
        </w:rPr>
        <w:t>, 1-2. doi:10.1177/0022034512458692</w:t>
      </w:r>
    </w:p>
    <w:p w:rsidR="001A283D" w:rsidRDefault="00EB4296" w:rsidP="00EB4296">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1A283D">
        <w:rPr>
          <w:rFonts w:ascii="Times New Roman" w:eastAsia="Calibri" w:hAnsi="Times New Roman" w:cs="Times New Roman"/>
          <w:sz w:val="24"/>
          <w:szCs w:val="24"/>
        </w:rPr>
        <w:t xml:space="preserve">Centers for Disease Control and Prevention (2013). </w:t>
      </w:r>
      <w:proofErr w:type="gramStart"/>
      <w:r w:rsidR="001A283D">
        <w:rPr>
          <w:rFonts w:ascii="Times New Roman" w:eastAsia="Calibri" w:hAnsi="Times New Roman" w:cs="Times New Roman"/>
          <w:i/>
          <w:sz w:val="24"/>
          <w:szCs w:val="24"/>
        </w:rPr>
        <w:t xml:space="preserve">Periodontal </w:t>
      </w:r>
      <w:r w:rsidR="001A283D" w:rsidRPr="00356CFC">
        <w:rPr>
          <w:rFonts w:ascii="Times New Roman" w:eastAsia="Calibri" w:hAnsi="Times New Roman" w:cs="Times New Roman"/>
          <w:i/>
          <w:sz w:val="24"/>
          <w:szCs w:val="24"/>
        </w:rPr>
        <w:t>Disease</w:t>
      </w:r>
      <w:r w:rsidR="001A283D">
        <w:rPr>
          <w:rFonts w:ascii="Times New Roman" w:eastAsia="Calibri" w:hAnsi="Times New Roman" w:cs="Times New Roman"/>
          <w:i/>
          <w:sz w:val="24"/>
          <w:szCs w:val="24"/>
        </w:rPr>
        <w:t>.</w:t>
      </w:r>
      <w:proofErr w:type="gramEnd"/>
      <w:r w:rsidR="001A283D">
        <w:rPr>
          <w:rFonts w:ascii="Times New Roman" w:eastAsia="Calibri" w:hAnsi="Times New Roman" w:cs="Times New Roman"/>
          <w:i/>
          <w:sz w:val="24"/>
          <w:szCs w:val="24"/>
        </w:rPr>
        <w:t xml:space="preserve"> </w:t>
      </w:r>
      <w:r w:rsidR="001A283D">
        <w:rPr>
          <w:rFonts w:ascii="Times New Roman" w:eastAsia="Calibri" w:hAnsi="Times New Roman" w:cs="Times New Roman"/>
          <w:sz w:val="24"/>
          <w:szCs w:val="24"/>
        </w:rPr>
        <w:t xml:space="preserve">Retrieved </w:t>
      </w:r>
      <w:r w:rsidR="001A283D" w:rsidRPr="00356CFC">
        <w:rPr>
          <w:rFonts w:ascii="Times New Roman" w:eastAsia="Calibri" w:hAnsi="Times New Roman" w:cs="Times New Roman"/>
          <w:sz w:val="24"/>
          <w:szCs w:val="24"/>
        </w:rPr>
        <w:t>from</w:t>
      </w:r>
      <w:r w:rsidR="001A283D">
        <w:rPr>
          <w:rFonts w:ascii="Times New Roman" w:eastAsia="Calibri" w:hAnsi="Times New Roman" w:cs="Times New Roman"/>
          <w:sz w:val="24"/>
          <w:szCs w:val="24"/>
        </w:rPr>
        <w:t>:</w:t>
      </w:r>
    </w:p>
    <w:p w:rsidR="001A283D" w:rsidRDefault="00620CDC" w:rsidP="00EB4296">
      <w:pPr>
        <w:spacing w:line="480" w:lineRule="auto"/>
        <w:ind w:firstLine="720"/>
        <w:contextualSpacing/>
        <w:rPr>
          <w:rFonts w:ascii="Times New Roman" w:eastAsia="Times New Roman" w:hAnsi="Times New Roman" w:cs="Times New Roman"/>
          <w:sz w:val="24"/>
          <w:szCs w:val="24"/>
        </w:rPr>
      </w:pPr>
      <w:hyperlink r:id="rId11" w:history="1">
        <w:r w:rsidR="001A283D" w:rsidRPr="007B2120">
          <w:rPr>
            <w:rStyle w:val="Hyperlink"/>
            <w:rFonts w:ascii="Times New Roman" w:eastAsia="Times New Roman" w:hAnsi="Times New Roman" w:cs="Times New Roman"/>
            <w:sz w:val="24"/>
            <w:szCs w:val="24"/>
          </w:rPr>
          <w:t>http://www.cdc.gov/OralHealth/topics/periodontal_disease.htm</w:t>
        </w:r>
      </w:hyperlink>
      <w:r w:rsidR="001A283D">
        <w:rPr>
          <w:rFonts w:ascii="Times New Roman" w:eastAsia="Times New Roman" w:hAnsi="Times New Roman" w:cs="Times New Roman"/>
          <w:sz w:val="24"/>
          <w:szCs w:val="24"/>
        </w:rPr>
        <w:t xml:space="preserve">. </w:t>
      </w:r>
    </w:p>
    <w:p w:rsidR="001A283D" w:rsidRPr="00356CFC"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7</w:t>
      </w:r>
      <w:r w:rsidR="001A283D">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 xml:space="preserve">Susin, C., Kingman, A., &amp; Albandar, J. (2005). Effect of partial recording protocols on estimates of prevalence of periodontal disease. </w:t>
      </w:r>
      <w:r w:rsidR="001A283D" w:rsidRPr="00356CFC">
        <w:rPr>
          <w:rFonts w:ascii="Times New Roman" w:eastAsia="Calibri" w:hAnsi="Times New Roman" w:cs="Times New Roman"/>
          <w:i/>
          <w:iCs/>
          <w:noProof/>
          <w:sz w:val="24"/>
          <w:szCs w:val="16"/>
        </w:rPr>
        <w:t>J Periodontol, 76</w:t>
      </w:r>
      <w:r w:rsidR="001A283D" w:rsidRPr="00356CFC">
        <w:rPr>
          <w:rFonts w:ascii="Times New Roman" w:eastAsia="Calibri" w:hAnsi="Times New Roman" w:cs="Times New Roman"/>
          <w:noProof/>
          <w:sz w:val="24"/>
          <w:szCs w:val="16"/>
        </w:rPr>
        <w:t>(2), 262-267.</w:t>
      </w:r>
    </w:p>
    <w:p w:rsidR="001A283D" w:rsidRDefault="00EB4296" w:rsidP="00EB4296">
      <w:pPr>
        <w:spacing w:line="480" w:lineRule="auto"/>
        <w:ind w:left="720" w:hanging="720"/>
        <w:contextualSpacing/>
        <w:rPr>
          <w:rFonts w:ascii="Times New Roman" w:eastAsia="Calibri" w:hAnsi="Times New Roman" w:cs="Times New Roman"/>
          <w:sz w:val="24"/>
          <w:szCs w:val="24"/>
        </w:rPr>
      </w:pPr>
      <w:r>
        <w:rPr>
          <w:rFonts w:ascii="Times New Roman" w:eastAsia="Calibri" w:hAnsi="Times New Roman" w:cs="Times New Roman"/>
          <w:noProof/>
          <w:sz w:val="24"/>
          <w:szCs w:val="16"/>
        </w:rPr>
        <w:t>8</w:t>
      </w:r>
      <w:r w:rsidR="001A283D">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Beck, J., C</w:t>
      </w:r>
      <w:r w:rsidR="001A283D">
        <w:rPr>
          <w:rFonts w:ascii="Times New Roman" w:eastAsia="Calibri" w:hAnsi="Times New Roman" w:cs="Times New Roman"/>
          <w:noProof/>
          <w:sz w:val="24"/>
          <w:szCs w:val="16"/>
        </w:rPr>
        <w:t>a</w:t>
      </w:r>
      <w:r w:rsidR="001A283D" w:rsidRPr="00356CFC">
        <w:rPr>
          <w:rFonts w:ascii="Times New Roman" w:eastAsia="Calibri" w:hAnsi="Times New Roman" w:cs="Times New Roman"/>
          <w:noProof/>
          <w:sz w:val="24"/>
          <w:szCs w:val="16"/>
        </w:rPr>
        <w:t xml:space="preserve">palan, D., Preisser, J., &amp; Moss, K. (2006). Reducing the bias of probing depth and attachment level estimates using random partial-mouth recording. </w:t>
      </w:r>
      <w:r w:rsidR="001A283D" w:rsidRPr="00356CFC">
        <w:rPr>
          <w:rFonts w:ascii="Times New Roman" w:eastAsia="Calibri" w:hAnsi="Times New Roman" w:cs="Times New Roman"/>
          <w:i/>
          <w:iCs/>
          <w:noProof/>
          <w:sz w:val="24"/>
          <w:szCs w:val="16"/>
        </w:rPr>
        <w:t>Community Dent Oral Epidmiol, 34</w:t>
      </w:r>
      <w:r w:rsidR="001A283D" w:rsidRPr="00356CFC">
        <w:rPr>
          <w:rFonts w:ascii="Times New Roman" w:eastAsia="Calibri" w:hAnsi="Times New Roman" w:cs="Times New Roman"/>
          <w:noProof/>
          <w:sz w:val="24"/>
          <w:szCs w:val="16"/>
        </w:rPr>
        <w:t>, 1-10. Retrieved September 2012</w:t>
      </w:r>
    </w:p>
    <w:p w:rsidR="001A283D" w:rsidRPr="00356CFC"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9</w:t>
      </w:r>
      <w:r w:rsidR="001A283D">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 xml:space="preserve">Owens, J., Dowsett, S., Eckert, G., Zero, D., &amp; Kowolik, M. (2003). Partial-mouth assessment of periodontal disease in an adult population of the United States. </w:t>
      </w:r>
      <w:r w:rsidR="001A283D" w:rsidRPr="00356CFC">
        <w:rPr>
          <w:rFonts w:ascii="Times New Roman" w:eastAsia="Calibri" w:hAnsi="Times New Roman" w:cs="Times New Roman"/>
          <w:i/>
          <w:iCs/>
          <w:noProof/>
          <w:sz w:val="24"/>
          <w:szCs w:val="16"/>
        </w:rPr>
        <w:t>74</w:t>
      </w:r>
      <w:r w:rsidR="001A283D" w:rsidRPr="00356CFC">
        <w:rPr>
          <w:rFonts w:ascii="Times New Roman" w:eastAsia="Calibri" w:hAnsi="Times New Roman" w:cs="Times New Roman"/>
          <w:noProof/>
          <w:sz w:val="24"/>
          <w:szCs w:val="16"/>
        </w:rPr>
        <w:t>(8), 1206-1213. Retrieved September 2012</w:t>
      </w:r>
    </w:p>
    <w:p w:rsidR="001A283D" w:rsidRPr="00356CFC"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lastRenderedPageBreak/>
        <w:t>10</w:t>
      </w:r>
      <w:r w:rsidR="001A283D">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 xml:space="preserve">Tugnait, A., Clerehugh, V., &amp; Hirschmann, P. (004). Use of the basic periodontal examination and radiographs in the assessment of peridontal diseases in general dental practice. </w:t>
      </w:r>
      <w:r w:rsidR="001A283D" w:rsidRPr="00356CFC">
        <w:rPr>
          <w:rFonts w:ascii="Times New Roman" w:eastAsia="Calibri" w:hAnsi="Times New Roman" w:cs="Times New Roman"/>
          <w:i/>
          <w:iCs/>
          <w:noProof/>
          <w:sz w:val="24"/>
          <w:szCs w:val="16"/>
        </w:rPr>
        <w:t>Journal of Dentistry, 32</w:t>
      </w:r>
      <w:r w:rsidR="001A283D" w:rsidRPr="00356CFC">
        <w:rPr>
          <w:rFonts w:ascii="Times New Roman" w:eastAsia="Calibri" w:hAnsi="Times New Roman" w:cs="Times New Roman"/>
          <w:noProof/>
          <w:sz w:val="24"/>
          <w:szCs w:val="16"/>
        </w:rPr>
        <w:t>, 19-25. doi:10.1016/S0300-5712(03)00126-X</w:t>
      </w:r>
    </w:p>
    <w:p w:rsidR="001A283D"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11</w:t>
      </w:r>
      <w:r w:rsidR="001A283D">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 xml:space="preserve">Ziebolz, D., Szabadi, I., Rinke, S., Hornecker, E., &amp; Mausberg, R. (211). Initial periodontal screening and radiographic findings - A comparison of two methods to evaluate the peridontal situation. </w:t>
      </w:r>
      <w:r w:rsidR="001A283D" w:rsidRPr="00356CFC">
        <w:rPr>
          <w:rFonts w:ascii="Times New Roman" w:eastAsia="Calibri" w:hAnsi="Times New Roman" w:cs="Times New Roman"/>
          <w:i/>
          <w:iCs/>
          <w:noProof/>
          <w:sz w:val="24"/>
          <w:szCs w:val="16"/>
        </w:rPr>
        <w:t>BMC Oral Health, 11:3</w:t>
      </w:r>
      <w:r w:rsidR="001A283D" w:rsidRPr="00356CFC">
        <w:rPr>
          <w:rFonts w:ascii="Times New Roman" w:eastAsia="Calibri" w:hAnsi="Times New Roman" w:cs="Times New Roman"/>
          <w:noProof/>
          <w:sz w:val="24"/>
          <w:szCs w:val="16"/>
        </w:rPr>
        <w:t>. doi:10.1186/1472-6831-11-3</w:t>
      </w:r>
    </w:p>
    <w:p w:rsidR="005934FB" w:rsidRPr="00356CFC"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12</w:t>
      </w:r>
      <w:r w:rsidR="001A283D">
        <w:rPr>
          <w:rFonts w:ascii="Times New Roman" w:eastAsia="Calibri" w:hAnsi="Times New Roman" w:cs="Times New Roman"/>
          <w:noProof/>
          <w:sz w:val="24"/>
          <w:szCs w:val="16"/>
        </w:rPr>
        <w:t xml:space="preserve">. </w:t>
      </w:r>
      <w:r w:rsidR="005934FB" w:rsidRPr="00356CFC">
        <w:rPr>
          <w:rFonts w:ascii="Times New Roman" w:eastAsia="Calibri" w:hAnsi="Times New Roman" w:cs="Times New Roman"/>
          <w:noProof/>
          <w:sz w:val="24"/>
          <w:szCs w:val="16"/>
        </w:rPr>
        <w:t xml:space="preserve">Moreira, C., Fiorini, T., Ferreira, E., Antoniazzi, R., &amp; Rosing, C. (2007). Use of radiographs for peridontal diagnosis in private practice. </w:t>
      </w:r>
      <w:r w:rsidR="005934FB" w:rsidRPr="00356CFC">
        <w:rPr>
          <w:rFonts w:ascii="Times New Roman" w:eastAsia="Calibri" w:hAnsi="Times New Roman" w:cs="Times New Roman"/>
          <w:i/>
          <w:iCs/>
          <w:noProof/>
          <w:sz w:val="24"/>
          <w:szCs w:val="16"/>
        </w:rPr>
        <w:t>Acta Odontol. Latinoam., 20</w:t>
      </w:r>
      <w:r w:rsidR="005934FB" w:rsidRPr="00356CFC">
        <w:rPr>
          <w:rFonts w:ascii="Times New Roman" w:eastAsia="Calibri" w:hAnsi="Times New Roman" w:cs="Times New Roman"/>
          <w:noProof/>
          <w:sz w:val="24"/>
          <w:szCs w:val="16"/>
        </w:rPr>
        <w:t>(1), 33-37. Retrieved October 2012</w:t>
      </w:r>
    </w:p>
    <w:p w:rsidR="001A283D" w:rsidRPr="00356CFC"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13</w:t>
      </w:r>
      <w:r w:rsidR="005934FB">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 xml:space="preserve">Linden, G. (1998). Variation in peridontal referral by general dental practitioners. </w:t>
      </w:r>
      <w:r w:rsidR="001A283D" w:rsidRPr="00356CFC">
        <w:rPr>
          <w:rFonts w:ascii="Times New Roman" w:eastAsia="Calibri" w:hAnsi="Times New Roman" w:cs="Times New Roman"/>
          <w:i/>
          <w:iCs/>
          <w:noProof/>
          <w:sz w:val="24"/>
          <w:szCs w:val="16"/>
        </w:rPr>
        <w:t>J Clin Periodontol, 25</w:t>
      </w:r>
      <w:r w:rsidR="001A283D" w:rsidRPr="00356CFC">
        <w:rPr>
          <w:rFonts w:ascii="Times New Roman" w:eastAsia="Calibri" w:hAnsi="Times New Roman" w:cs="Times New Roman"/>
          <w:noProof/>
          <w:sz w:val="24"/>
          <w:szCs w:val="16"/>
        </w:rPr>
        <w:t>, 655-661. Retrieved October 2012</w:t>
      </w:r>
    </w:p>
    <w:p w:rsidR="001A283D" w:rsidRPr="00356CFC"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14</w:t>
      </w:r>
      <w:r w:rsidR="001A283D">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 xml:space="preserve">Linden, G., Stevenson, M., &amp; Burke, F. (1999). Variation in peridontal referral in 2 regions in the UK. </w:t>
      </w:r>
      <w:r w:rsidR="001A283D" w:rsidRPr="00356CFC">
        <w:rPr>
          <w:rFonts w:ascii="Times New Roman" w:eastAsia="Calibri" w:hAnsi="Times New Roman" w:cs="Times New Roman"/>
          <w:i/>
          <w:iCs/>
          <w:noProof/>
          <w:sz w:val="24"/>
          <w:szCs w:val="16"/>
        </w:rPr>
        <w:t>J CLin Periodontol, 26</w:t>
      </w:r>
      <w:r w:rsidR="001A283D" w:rsidRPr="00356CFC">
        <w:rPr>
          <w:rFonts w:ascii="Times New Roman" w:eastAsia="Calibri" w:hAnsi="Times New Roman" w:cs="Times New Roman"/>
          <w:noProof/>
          <w:sz w:val="24"/>
          <w:szCs w:val="16"/>
        </w:rPr>
        <w:t>, 590-595. Retrieved October 2012</w:t>
      </w:r>
    </w:p>
    <w:p w:rsidR="001A283D" w:rsidRPr="00356CFC"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15</w:t>
      </w:r>
      <w:r w:rsidR="001A283D">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 xml:space="preserve">Dockter, K., Williams, K., Bray, K., &amp; Cobb, C. (2006). Relationship between prereferral periodontal care and periodontal status at time of referral. </w:t>
      </w:r>
      <w:r w:rsidR="001A283D" w:rsidRPr="00356CFC">
        <w:rPr>
          <w:rFonts w:ascii="Times New Roman" w:eastAsia="Calibri" w:hAnsi="Times New Roman" w:cs="Times New Roman"/>
          <w:i/>
          <w:iCs/>
          <w:noProof/>
          <w:sz w:val="24"/>
          <w:szCs w:val="16"/>
        </w:rPr>
        <w:t>J Periodontol, 77</w:t>
      </w:r>
      <w:r w:rsidR="001A283D" w:rsidRPr="00356CFC">
        <w:rPr>
          <w:rFonts w:ascii="Times New Roman" w:eastAsia="Calibri" w:hAnsi="Times New Roman" w:cs="Times New Roman"/>
          <w:noProof/>
          <w:sz w:val="24"/>
          <w:szCs w:val="16"/>
        </w:rPr>
        <w:t>(10), 1708-1716. doi:10.1902/jop.2006.060063</w:t>
      </w:r>
    </w:p>
    <w:p w:rsidR="001A283D" w:rsidRPr="00356CFC"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16</w:t>
      </w:r>
      <w:r w:rsidR="001A283D">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 xml:space="preserve">Ghiabi, E., &amp; Weerasinghe, S. (2011). The peridontal examination profile of general dentists in Nova Scotia, Canada. </w:t>
      </w:r>
      <w:r w:rsidR="001A283D" w:rsidRPr="00356CFC">
        <w:rPr>
          <w:rFonts w:ascii="Times New Roman" w:eastAsia="Calibri" w:hAnsi="Times New Roman" w:cs="Times New Roman"/>
          <w:i/>
          <w:iCs/>
          <w:noProof/>
          <w:sz w:val="24"/>
          <w:szCs w:val="16"/>
        </w:rPr>
        <w:t>J Periodontal, 82</w:t>
      </w:r>
      <w:r w:rsidR="001A283D" w:rsidRPr="00356CFC">
        <w:rPr>
          <w:rFonts w:ascii="Times New Roman" w:eastAsia="Calibri" w:hAnsi="Times New Roman" w:cs="Times New Roman"/>
          <w:noProof/>
          <w:sz w:val="24"/>
          <w:szCs w:val="16"/>
        </w:rPr>
        <w:t>(1), 33-40. doi:10.1902/jop.2010.100348</w:t>
      </w:r>
    </w:p>
    <w:p w:rsidR="001A283D" w:rsidRPr="00356CFC"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17</w:t>
      </w:r>
      <w:r w:rsidR="001A283D">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 xml:space="preserve">Cobb, C., Carrara, A., El-Annan, E., Youngblood, L., Becker, B., Becker, W., . . . Williams, K. (2003). Periodontal referral patterns, 1980 versus 2000: A preliminary study. </w:t>
      </w:r>
      <w:r w:rsidR="001A283D" w:rsidRPr="00356CFC">
        <w:rPr>
          <w:rFonts w:ascii="Times New Roman" w:eastAsia="Calibri" w:hAnsi="Times New Roman" w:cs="Times New Roman"/>
          <w:i/>
          <w:iCs/>
          <w:noProof/>
          <w:sz w:val="24"/>
          <w:szCs w:val="16"/>
        </w:rPr>
        <w:t>J Periodontol, 74</w:t>
      </w:r>
      <w:r w:rsidR="001A283D" w:rsidRPr="00356CFC">
        <w:rPr>
          <w:rFonts w:ascii="Times New Roman" w:eastAsia="Calibri" w:hAnsi="Times New Roman" w:cs="Times New Roman"/>
          <w:noProof/>
          <w:sz w:val="24"/>
          <w:szCs w:val="16"/>
        </w:rPr>
        <w:t xml:space="preserve">(10), 1470-1474. Retrieved October 2012 </w:t>
      </w:r>
    </w:p>
    <w:p w:rsidR="001A283D" w:rsidRDefault="00EB4296" w:rsidP="00EB4296">
      <w:pPr>
        <w:spacing w:line="480" w:lineRule="auto"/>
        <w:ind w:left="720" w:hanging="720"/>
        <w:contextualSpacing/>
        <w:rPr>
          <w:rFonts w:ascii="Times New Roman" w:eastAsia="Calibri" w:hAnsi="Times New Roman" w:cs="Times New Roman"/>
          <w:noProof/>
          <w:sz w:val="24"/>
          <w:szCs w:val="16"/>
        </w:rPr>
      </w:pPr>
      <w:r>
        <w:rPr>
          <w:rFonts w:ascii="Times New Roman" w:eastAsia="Calibri" w:hAnsi="Times New Roman" w:cs="Times New Roman"/>
          <w:noProof/>
          <w:sz w:val="24"/>
          <w:szCs w:val="16"/>
        </w:rPr>
        <w:t>18</w:t>
      </w:r>
      <w:r w:rsidR="001A283D">
        <w:rPr>
          <w:rFonts w:ascii="Times New Roman" w:eastAsia="Calibri" w:hAnsi="Times New Roman" w:cs="Times New Roman"/>
          <w:noProof/>
          <w:sz w:val="24"/>
          <w:szCs w:val="16"/>
        </w:rPr>
        <w:t xml:space="preserve">. </w:t>
      </w:r>
      <w:r w:rsidR="001A283D" w:rsidRPr="00356CFC">
        <w:rPr>
          <w:rFonts w:ascii="Times New Roman" w:eastAsia="Calibri" w:hAnsi="Times New Roman" w:cs="Times New Roman"/>
          <w:noProof/>
          <w:sz w:val="24"/>
          <w:szCs w:val="16"/>
        </w:rPr>
        <w:t xml:space="preserve">Darby, I., Angkasa, F., Duong, C., Ho, D., Legudi, S., Pham, K., &amp; Welsh, A. (2005). Factors influencing the diagnosis and treatment of peridontal disease by dental </w:t>
      </w:r>
      <w:r w:rsidR="001A283D" w:rsidRPr="00356CFC">
        <w:rPr>
          <w:rFonts w:ascii="Times New Roman" w:eastAsia="Calibri" w:hAnsi="Times New Roman" w:cs="Times New Roman"/>
          <w:noProof/>
          <w:sz w:val="24"/>
          <w:szCs w:val="16"/>
        </w:rPr>
        <w:lastRenderedPageBreak/>
        <w:t xml:space="preserve">practitioners in Victoria. </w:t>
      </w:r>
      <w:r w:rsidR="001A283D" w:rsidRPr="00356CFC">
        <w:rPr>
          <w:rFonts w:ascii="Times New Roman" w:eastAsia="Calibri" w:hAnsi="Times New Roman" w:cs="Times New Roman"/>
          <w:i/>
          <w:iCs/>
          <w:noProof/>
          <w:sz w:val="24"/>
          <w:szCs w:val="16"/>
        </w:rPr>
        <w:t>Australian Dental Journal, 50</w:t>
      </w:r>
      <w:r w:rsidR="001A283D" w:rsidRPr="00356CFC">
        <w:rPr>
          <w:rFonts w:ascii="Times New Roman" w:eastAsia="Calibri" w:hAnsi="Times New Roman" w:cs="Times New Roman"/>
          <w:noProof/>
          <w:sz w:val="24"/>
          <w:szCs w:val="16"/>
        </w:rPr>
        <w:t>(1), 37-41. Retrieved October 2012</w:t>
      </w:r>
    </w:p>
    <w:p w:rsidR="00A92D08" w:rsidRPr="00CF44EF" w:rsidRDefault="00EB4296" w:rsidP="00A92D08">
      <w:pPr>
        <w:spacing w:line="480" w:lineRule="auto"/>
        <w:ind w:left="720" w:hanging="720"/>
        <w:contextualSpacing/>
        <w:rPr>
          <w:sz w:val="24"/>
        </w:rPr>
      </w:pPr>
      <w:r>
        <w:rPr>
          <w:rFonts w:ascii="Times New Roman" w:eastAsia="Calibri" w:hAnsi="Times New Roman" w:cs="Times New Roman"/>
          <w:noProof/>
          <w:sz w:val="24"/>
          <w:szCs w:val="16"/>
        </w:rPr>
        <w:t>19</w:t>
      </w:r>
      <w:r w:rsidR="005934FB">
        <w:rPr>
          <w:rFonts w:ascii="Times New Roman" w:eastAsia="Calibri" w:hAnsi="Times New Roman" w:cs="Times New Roman"/>
          <w:noProof/>
          <w:sz w:val="24"/>
          <w:szCs w:val="16"/>
        </w:rPr>
        <w:t xml:space="preserve">. </w:t>
      </w:r>
      <w:r w:rsidR="00A92D08">
        <w:rPr>
          <w:rFonts w:ascii="Times New Roman" w:eastAsia="Calibri" w:hAnsi="Times New Roman" w:cs="Times New Roman"/>
          <w:noProof/>
          <w:sz w:val="24"/>
          <w:szCs w:val="16"/>
        </w:rPr>
        <w:t xml:space="preserve">Campaign for Tobacco Free Kids. (2012).  </w:t>
      </w:r>
      <w:r w:rsidR="00A92D08" w:rsidRPr="00CF44EF">
        <w:rPr>
          <w:rFonts w:ascii="Times New Roman" w:eastAsia="Calibri" w:hAnsi="Times New Roman" w:cs="Times New Roman"/>
          <w:i/>
          <w:noProof/>
          <w:sz w:val="24"/>
          <w:szCs w:val="16"/>
        </w:rPr>
        <w:t>The toll of tobacco in Indiana</w:t>
      </w:r>
      <w:r w:rsidR="00A92D08">
        <w:rPr>
          <w:rFonts w:ascii="Times New Roman" w:eastAsia="Calibri" w:hAnsi="Times New Roman" w:cs="Times New Roman"/>
          <w:i/>
          <w:noProof/>
          <w:sz w:val="24"/>
          <w:szCs w:val="16"/>
        </w:rPr>
        <w:t>.</w:t>
      </w:r>
      <w:r w:rsidR="00A92D08">
        <w:rPr>
          <w:rFonts w:ascii="Times New Roman" w:eastAsia="Calibri" w:hAnsi="Times New Roman" w:cs="Times New Roman"/>
          <w:noProof/>
          <w:sz w:val="24"/>
          <w:szCs w:val="16"/>
        </w:rPr>
        <w:t xml:space="preserve">  Retrieved from: </w:t>
      </w:r>
      <w:hyperlink r:id="rId12" w:history="1">
        <w:r w:rsidR="00A92D08" w:rsidRPr="00CF44EF">
          <w:rPr>
            <w:rFonts w:ascii="Times New Roman" w:hAnsi="Times New Roman" w:cs="Times New Roman"/>
            <w:color w:val="0000FF"/>
            <w:sz w:val="24"/>
            <w:u w:val="single"/>
          </w:rPr>
          <w:t>http://www.tobaccofreekids.org/facts_issues/toll_us/indiana</w:t>
        </w:r>
      </w:hyperlink>
    </w:p>
    <w:p w:rsidR="00A92D08" w:rsidRDefault="00EB4296" w:rsidP="00A92D08">
      <w:pPr>
        <w:spacing w:line="48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noProof/>
          <w:sz w:val="24"/>
          <w:szCs w:val="16"/>
        </w:rPr>
        <w:t>20</w:t>
      </w:r>
      <w:r w:rsidR="005934FB">
        <w:rPr>
          <w:rFonts w:ascii="Times New Roman" w:eastAsia="Calibri" w:hAnsi="Times New Roman" w:cs="Times New Roman"/>
          <w:noProof/>
          <w:sz w:val="24"/>
          <w:szCs w:val="16"/>
        </w:rPr>
        <w:t xml:space="preserve">. </w:t>
      </w:r>
      <w:r w:rsidR="00A92D08">
        <w:rPr>
          <w:rFonts w:ascii="Times New Roman" w:eastAsia="Calibri" w:hAnsi="Times New Roman" w:cs="Times New Roman"/>
          <w:sz w:val="24"/>
          <w:szCs w:val="24"/>
        </w:rPr>
        <w:t>Indiana State Board of Dentistry (2011).</w:t>
      </w:r>
      <w:proofErr w:type="gramEnd"/>
      <w:r w:rsidR="00A92D08">
        <w:rPr>
          <w:rFonts w:ascii="Times New Roman" w:eastAsia="Calibri" w:hAnsi="Times New Roman" w:cs="Times New Roman"/>
          <w:sz w:val="24"/>
          <w:szCs w:val="24"/>
        </w:rPr>
        <w:t xml:space="preserve"> Retrieved from: </w:t>
      </w:r>
    </w:p>
    <w:p w:rsidR="00A92D08" w:rsidRDefault="00620CDC" w:rsidP="00A92D08">
      <w:pPr>
        <w:spacing w:line="480" w:lineRule="auto"/>
        <w:ind w:left="720"/>
        <w:contextualSpacing/>
        <w:rPr>
          <w:rStyle w:val="Hyperlink"/>
          <w:rFonts w:ascii="Times New Roman" w:eastAsia="Calibri" w:hAnsi="Times New Roman" w:cs="Times New Roman"/>
          <w:sz w:val="24"/>
          <w:szCs w:val="24"/>
        </w:rPr>
      </w:pPr>
      <w:hyperlink r:id="rId13" w:history="1">
        <w:r w:rsidR="00A92D08" w:rsidRPr="007B2120">
          <w:rPr>
            <w:rStyle w:val="Hyperlink"/>
            <w:rFonts w:ascii="Times New Roman" w:eastAsia="Calibri" w:hAnsi="Times New Roman" w:cs="Times New Roman"/>
            <w:sz w:val="24"/>
            <w:szCs w:val="24"/>
          </w:rPr>
          <w:t>http://www.in.gov/pla/files/2011_ISDB(2).pdf</w:t>
        </w:r>
      </w:hyperlink>
    </w:p>
    <w:p w:rsidR="001A283D" w:rsidRPr="001A7569" w:rsidRDefault="00EB4296" w:rsidP="00EB4296">
      <w:pPr>
        <w:spacing w:line="480" w:lineRule="auto"/>
        <w:ind w:left="720" w:hanging="720"/>
        <w:contextualSpacing/>
        <w:rPr>
          <w:rFonts w:ascii="Times New Roman" w:hAnsi="Times New Roman" w:cs="Times New Roman"/>
          <w:sz w:val="24"/>
        </w:rPr>
      </w:pPr>
      <w:r>
        <w:rPr>
          <w:rFonts w:ascii="Times New Roman" w:hAnsi="Times New Roman" w:cs="Times New Roman"/>
          <w:sz w:val="24"/>
        </w:rPr>
        <w:t>21</w:t>
      </w:r>
      <w:r w:rsidR="001A283D" w:rsidRPr="001A7569">
        <w:rPr>
          <w:rFonts w:ascii="Times New Roman" w:hAnsi="Times New Roman" w:cs="Times New Roman"/>
          <w:sz w:val="24"/>
        </w:rPr>
        <w:t xml:space="preserve">. </w:t>
      </w:r>
      <w:r w:rsidR="001A283D">
        <w:rPr>
          <w:rFonts w:ascii="Times New Roman" w:hAnsi="Times New Roman" w:cs="Times New Roman"/>
          <w:sz w:val="24"/>
        </w:rPr>
        <w:t xml:space="preserve">Olsen R. Self-selection bias. In:  </w:t>
      </w:r>
      <w:proofErr w:type="spellStart"/>
      <w:r w:rsidR="001A283D">
        <w:rPr>
          <w:rFonts w:ascii="Times New Roman" w:hAnsi="Times New Roman" w:cs="Times New Roman"/>
          <w:sz w:val="24"/>
        </w:rPr>
        <w:t>Lavrakas</w:t>
      </w:r>
      <w:proofErr w:type="spellEnd"/>
      <w:r w:rsidR="001A283D">
        <w:rPr>
          <w:rFonts w:ascii="Times New Roman" w:hAnsi="Times New Roman" w:cs="Times New Roman"/>
          <w:sz w:val="24"/>
        </w:rPr>
        <w:t xml:space="preserve"> PJ. </w:t>
      </w:r>
      <w:proofErr w:type="gramStart"/>
      <w:r w:rsidR="001A283D">
        <w:rPr>
          <w:rFonts w:ascii="Times New Roman" w:hAnsi="Times New Roman" w:cs="Times New Roman"/>
          <w:sz w:val="24"/>
        </w:rPr>
        <w:t>Encyclopedia of survey research.</w:t>
      </w:r>
      <w:proofErr w:type="gramEnd"/>
      <w:r w:rsidR="001A283D">
        <w:rPr>
          <w:rFonts w:ascii="Times New Roman" w:hAnsi="Times New Roman" w:cs="Times New Roman"/>
          <w:sz w:val="24"/>
        </w:rPr>
        <w:t xml:space="preserve"> Thousand Oak</w:t>
      </w:r>
      <w:r>
        <w:rPr>
          <w:rFonts w:ascii="Times New Roman" w:hAnsi="Times New Roman" w:cs="Times New Roman"/>
          <w:sz w:val="24"/>
        </w:rPr>
        <w:t>s, CA. Sage Publications, 2008</w:t>
      </w:r>
    </w:p>
    <w:p w:rsidR="001A283D" w:rsidRDefault="001A283D" w:rsidP="001A283D">
      <w:pPr>
        <w:spacing w:line="480" w:lineRule="auto"/>
        <w:ind w:left="720" w:hanging="720"/>
        <w:contextualSpacing/>
        <w:rPr>
          <w:rFonts w:ascii="Times New Roman" w:eastAsia="Calibri" w:hAnsi="Times New Roman" w:cs="Times New Roman"/>
          <w:noProof/>
          <w:sz w:val="24"/>
          <w:szCs w:val="16"/>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1A283D" w:rsidRDefault="001A283D" w:rsidP="008C1387">
      <w:pPr>
        <w:spacing w:line="240" w:lineRule="auto"/>
        <w:contextualSpacing/>
        <w:rPr>
          <w:rFonts w:ascii="Times New Roman" w:eastAsia="Times New Roman" w:hAnsi="Times New Roman" w:cs="Times New Roman"/>
          <w:b/>
          <w:sz w:val="18"/>
          <w:szCs w:val="24"/>
        </w:rPr>
      </w:pPr>
    </w:p>
    <w:p w:rsidR="00E46218" w:rsidRDefault="00E46218" w:rsidP="008C1387">
      <w:pPr>
        <w:spacing w:line="240" w:lineRule="auto"/>
        <w:contextualSpacing/>
        <w:rPr>
          <w:rFonts w:ascii="Times New Roman" w:eastAsia="Times New Roman" w:hAnsi="Times New Roman" w:cs="Times New Roman"/>
          <w:b/>
          <w:sz w:val="18"/>
          <w:szCs w:val="24"/>
        </w:rPr>
      </w:pPr>
    </w:p>
    <w:p w:rsidR="00E46218" w:rsidRDefault="00E46218" w:rsidP="008C1387">
      <w:pPr>
        <w:spacing w:line="240" w:lineRule="auto"/>
        <w:contextualSpacing/>
        <w:rPr>
          <w:rFonts w:ascii="Times New Roman" w:eastAsia="Times New Roman" w:hAnsi="Times New Roman" w:cs="Times New Roman"/>
          <w:b/>
          <w:sz w:val="18"/>
          <w:szCs w:val="24"/>
        </w:rPr>
      </w:pPr>
    </w:p>
    <w:p w:rsidR="00C9078A" w:rsidRDefault="00C9078A" w:rsidP="00E46218">
      <w:pPr>
        <w:spacing w:line="480" w:lineRule="auto"/>
        <w:contextualSpacing/>
        <w:rPr>
          <w:rFonts w:ascii="Times New Roman" w:eastAsia="Times New Roman" w:hAnsi="Times New Roman" w:cs="Times New Roman"/>
          <w:b/>
          <w:sz w:val="18"/>
          <w:szCs w:val="24"/>
        </w:rPr>
      </w:pPr>
    </w:p>
    <w:p w:rsidR="00C9078A" w:rsidRDefault="00C9078A" w:rsidP="00E46218">
      <w:pPr>
        <w:spacing w:line="480" w:lineRule="auto"/>
        <w:contextualSpacing/>
        <w:rPr>
          <w:rFonts w:ascii="Times New Roman" w:eastAsia="Times New Roman" w:hAnsi="Times New Roman" w:cs="Times New Roman"/>
          <w:b/>
          <w:sz w:val="18"/>
          <w:szCs w:val="24"/>
        </w:rPr>
      </w:pPr>
    </w:p>
    <w:p w:rsidR="00C9078A" w:rsidRDefault="00C9078A" w:rsidP="00E46218">
      <w:pPr>
        <w:spacing w:line="480" w:lineRule="auto"/>
        <w:contextualSpacing/>
        <w:rPr>
          <w:rFonts w:ascii="Times New Roman" w:eastAsia="Times New Roman" w:hAnsi="Times New Roman" w:cs="Times New Roman"/>
          <w:b/>
          <w:sz w:val="18"/>
          <w:szCs w:val="24"/>
        </w:rPr>
      </w:pPr>
    </w:p>
    <w:p w:rsidR="00C9078A" w:rsidRDefault="00C9078A" w:rsidP="00E46218">
      <w:pPr>
        <w:spacing w:line="480" w:lineRule="auto"/>
        <w:contextualSpacing/>
        <w:rPr>
          <w:rFonts w:ascii="Times New Roman" w:eastAsia="Times New Roman" w:hAnsi="Times New Roman" w:cs="Times New Roman"/>
          <w:b/>
          <w:sz w:val="18"/>
          <w:szCs w:val="24"/>
        </w:rPr>
      </w:pPr>
    </w:p>
    <w:p w:rsidR="00C9078A" w:rsidRDefault="00C9078A" w:rsidP="00E46218">
      <w:pPr>
        <w:spacing w:line="480" w:lineRule="auto"/>
        <w:contextualSpacing/>
        <w:rPr>
          <w:rFonts w:ascii="Times New Roman" w:eastAsia="Times New Roman" w:hAnsi="Times New Roman" w:cs="Times New Roman"/>
          <w:b/>
          <w:sz w:val="18"/>
          <w:szCs w:val="24"/>
        </w:rPr>
      </w:pPr>
    </w:p>
    <w:p w:rsidR="00C9078A" w:rsidRDefault="00C9078A" w:rsidP="00E46218">
      <w:pPr>
        <w:spacing w:line="480" w:lineRule="auto"/>
        <w:contextualSpacing/>
        <w:rPr>
          <w:rFonts w:ascii="Times New Roman" w:eastAsia="Times New Roman" w:hAnsi="Times New Roman" w:cs="Times New Roman"/>
          <w:b/>
          <w:sz w:val="18"/>
          <w:szCs w:val="24"/>
        </w:rPr>
      </w:pPr>
    </w:p>
    <w:p w:rsidR="00843F23" w:rsidRDefault="008C1387" w:rsidP="00E46218">
      <w:pPr>
        <w:spacing w:line="480" w:lineRule="auto"/>
        <w:contextualSpacing/>
        <w:rPr>
          <w:rFonts w:ascii="Times New Roman" w:eastAsia="Times New Roman" w:hAnsi="Times New Roman" w:cs="Times New Roman"/>
          <w:b/>
          <w:sz w:val="18"/>
          <w:szCs w:val="24"/>
        </w:rPr>
      </w:pPr>
      <w:r>
        <w:rPr>
          <w:rFonts w:ascii="Times New Roman" w:eastAsia="Times New Roman" w:hAnsi="Times New Roman" w:cs="Times New Roman"/>
          <w:b/>
          <w:sz w:val="18"/>
          <w:szCs w:val="24"/>
        </w:rPr>
        <w:lastRenderedPageBreak/>
        <w:t>Table 1</w:t>
      </w:r>
    </w:p>
    <w:p w:rsidR="008C1387" w:rsidRDefault="008C1387" w:rsidP="00E46218">
      <w:pPr>
        <w:spacing w:line="480" w:lineRule="auto"/>
        <w:contextualSpacing/>
        <w:rPr>
          <w:rFonts w:ascii="Times New Roman" w:eastAsia="Times New Roman" w:hAnsi="Times New Roman" w:cs="Times New Roman"/>
          <w:b/>
          <w:sz w:val="18"/>
          <w:szCs w:val="24"/>
        </w:rPr>
      </w:pPr>
      <w:r>
        <w:rPr>
          <w:rFonts w:ascii="Times New Roman" w:eastAsia="Times New Roman" w:hAnsi="Times New Roman" w:cs="Times New Roman"/>
          <w:b/>
          <w:sz w:val="18"/>
          <w:szCs w:val="24"/>
        </w:rPr>
        <w:t>Participant Demographics</w:t>
      </w:r>
      <w:r w:rsidR="003C3AE1">
        <w:rPr>
          <w:rFonts w:ascii="Times New Roman" w:eastAsia="Times New Roman" w:hAnsi="Times New Roman" w:cs="Times New Roman"/>
          <w:b/>
          <w:sz w:val="18"/>
          <w:szCs w:val="24"/>
        </w:rPr>
        <w:t xml:space="preserve"> (N=113)</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48"/>
        <w:gridCol w:w="2340"/>
        <w:gridCol w:w="2250"/>
      </w:tblGrid>
      <w:tr w:rsidR="00C238F3" w:rsidTr="00B5791B">
        <w:tc>
          <w:tcPr>
            <w:tcW w:w="2448" w:type="dxa"/>
            <w:tcBorders>
              <w:top w:val="single" w:sz="12" w:space="0" w:color="auto"/>
              <w:bottom w:val="double" w:sz="4" w:space="0" w:color="auto"/>
            </w:tcBorders>
          </w:tcPr>
          <w:p w:rsidR="00C238F3" w:rsidRPr="00C238F3" w:rsidRDefault="00C238F3" w:rsidP="003C2C71">
            <w:pPr>
              <w:contextualSpacing/>
              <w:jc w:val="center"/>
              <w:rPr>
                <w:rFonts w:ascii="Times New Roman" w:eastAsia="Times New Roman" w:hAnsi="Times New Roman" w:cs="Times New Roman"/>
                <w:sz w:val="18"/>
                <w:szCs w:val="24"/>
              </w:rPr>
            </w:pPr>
            <w:r w:rsidRPr="00C238F3">
              <w:rPr>
                <w:rFonts w:ascii="Times New Roman" w:eastAsia="Times New Roman" w:hAnsi="Times New Roman" w:cs="Times New Roman"/>
                <w:sz w:val="18"/>
                <w:szCs w:val="24"/>
              </w:rPr>
              <w:t xml:space="preserve">Demographic </w:t>
            </w:r>
            <w:r w:rsidR="00DA522F">
              <w:rPr>
                <w:rFonts w:ascii="Times New Roman" w:eastAsia="Times New Roman" w:hAnsi="Times New Roman" w:cs="Times New Roman"/>
                <w:sz w:val="18"/>
                <w:szCs w:val="24"/>
              </w:rPr>
              <w:t>Features</w:t>
            </w:r>
          </w:p>
        </w:tc>
        <w:tc>
          <w:tcPr>
            <w:tcW w:w="2340" w:type="dxa"/>
            <w:tcBorders>
              <w:top w:val="single" w:sz="12" w:space="0" w:color="auto"/>
              <w:bottom w:val="double" w:sz="4" w:space="0" w:color="auto"/>
            </w:tcBorders>
          </w:tcPr>
          <w:p w:rsidR="00C238F3" w:rsidRPr="00C238F3" w:rsidRDefault="00C238F3" w:rsidP="003C2C71">
            <w:pPr>
              <w:contextualSpacing/>
              <w:jc w:val="center"/>
              <w:rPr>
                <w:rFonts w:ascii="Times New Roman" w:eastAsia="Times New Roman" w:hAnsi="Times New Roman" w:cs="Times New Roman"/>
                <w:sz w:val="18"/>
                <w:szCs w:val="24"/>
              </w:rPr>
            </w:pPr>
            <w:r w:rsidRPr="00C238F3">
              <w:rPr>
                <w:rFonts w:ascii="Times New Roman" w:eastAsia="Times New Roman" w:hAnsi="Times New Roman" w:cs="Times New Roman"/>
                <w:sz w:val="18"/>
                <w:szCs w:val="24"/>
              </w:rPr>
              <w:t>Participants</w:t>
            </w:r>
          </w:p>
        </w:tc>
        <w:tc>
          <w:tcPr>
            <w:tcW w:w="2250" w:type="dxa"/>
            <w:tcBorders>
              <w:top w:val="single" w:sz="12" w:space="0" w:color="auto"/>
              <w:bottom w:val="double" w:sz="4" w:space="0" w:color="auto"/>
            </w:tcBorders>
          </w:tcPr>
          <w:p w:rsidR="00C238F3" w:rsidRPr="00C238F3" w:rsidRDefault="00C238F3" w:rsidP="003C2C71">
            <w:pPr>
              <w:contextualSpacing/>
              <w:jc w:val="center"/>
              <w:rPr>
                <w:rFonts w:ascii="Times New Roman" w:eastAsia="Times New Roman" w:hAnsi="Times New Roman" w:cs="Times New Roman"/>
                <w:sz w:val="18"/>
                <w:szCs w:val="24"/>
              </w:rPr>
            </w:pPr>
            <w:r w:rsidRPr="00C238F3">
              <w:rPr>
                <w:rFonts w:ascii="Times New Roman" w:eastAsia="Times New Roman" w:hAnsi="Times New Roman" w:cs="Times New Roman"/>
                <w:sz w:val="18"/>
                <w:szCs w:val="24"/>
              </w:rPr>
              <w:t>Percent</w:t>
            </w:r>
          </w:p>
        </w:tc>
      </w:tr>
      <w:tr w:rsidR="00E56590" w:rsidTr="00B5791B">
        <w:trPr>
          <w:trHeight w:val="548"/>
        </w:trPr>
        <w:tc>
          <w:tcPr>
            <w:tcW w:w="2448" w:type="dxa"/>
            <w:vMerge w:val="restart"/>
            <w:tcBorders>
              <w:top w:val="double" w:sz="4" w:space="0" w:color="auto"/>
              <w:bottom w:val="single" w:sz="6" w:space="0" w:color="auto"/>
              <w:right w:val="single" w:sz="12" w:space="0" w:color="auto"/>
            </w:tcBorders>
          </w:tcPr>
          <w:p w:rsidR="00E56590" w:rsidRDefault="00E56590"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Years practicing dental h</w:t>
            </w:r>
            <w:r w:rsidRPr="00C238F3">
              <w:rPr>
                <w:rFonts w:ascii="Times New Roman" w:eastAsia="Times New Roman" w:hAnsi="Times New Roman" w:cs="Times New Roman"/>
                <w:sz w:val="18"/>
                <w:szCs w:val="24"/>
              </w:rPr>
              <w:t>ygiene</w:t>
            </w:r>
          </w:p>
          <w:p w:rsidR="00E56590" w:rsidRPr="00C238F3" w:rsidRDefault="003C3AE1"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(n</w:t>
            </w:r>
            <w:r w:rsidR="001F76D6">
              <w:rPr>
                <w:rFonts w:ascii="Times New Roman" w:eastAsia="Times New Roman" w:hAnsi="Times New Roman" w:cs="Times New Roman"/>
                <w:sz w:val="18"/>
                <w:szCs w:val="24"/>
              </w:rPr>
              <w:t>=113</w:t>
            </w:r>
            <w:r w:rsidR="00E56590">
              <w:rPr>
                <w:rFonts w:ascii="Times New Roman" w:eastAsia="Times New Roman" w:hAnsi="Times New Roman" w:cs="Times New Roman"/>
                <w:sz w:val="18"/>
                <w:szCs w:val="24"/>
              </w:rPr>
              <w:t>)</w:t>
            </w:r>
          </w:p>
        </w:tc>
        <w:tc>
          <w:tcPr>
            <w:tcW w:w="2340" w:type="dxa"/>
            <w:tcBorders>
              <w:top w:val="double" w:sz="4" w:space="0" w:color="auto"/>
              <w:left w:val="single" w:sz="12" w:space="0" w:color="auto"/>
              <w:bottom w:val="single" w:sz="6" w:space="0" w:color="auto"/>
              <w:right w:val="single" w:sz="12" w:space="0" w:color="auto"/>
            </w:tcBorders>
          </w:tcPr>
          <w:p w:rsidR="00E56590" w:rsidRPr="00C238F3" w:rsidRDefault="00E56590"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1-9 Years</w:t>
            </w:r>
          </w:p>
        </w:tc>
        <w:tc>
          <w:tcPr>
            <w:tcW w:w="2250" w:type="dxa"/>
            <w:tcBorders>
              <w:top w:val="double" w:sz="4" w:space="0" w:color="auto"/>
              <w:left w:val="single" w:sz="12" w:space="0" w:color="auto"/>
              <w:bottom w:val="single" w:sz="6" w:space="0" w:color="auto"/>
            </w:tcBorders>
          </w:tcPr>
          <w:p w:rsidR="00E56590" w:rsidRDefault="00B5791B" w:rsidP="001F76D6">
            <w:pPr>
              <w:ind w:left="6"/>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43.4 </w:t>
            </w:r>
          </w:p>
          <w:p w:rsidR="00E56590" w:rsidRPr="00C238F3" w:rsidRDefault="00E56590" w:rsidP="00E56590">
            <w:pPr>
              <w:contextualSpacing/>
              <w:rPr>
                <w:rFonts w:ascii="Times New Roman" w:eastAsia="Times New Roman" w:hAnsi="Times New Roman" w:cs="Times New Roman"/>
                <w:sz w:val="18"/>
                <w:szCs w:val="24"/>
              </w:rPr>
            </w:pPr>
          </w:p>
        </w:tc>
      </w:tr>
      <w:tr w:rsidR="00E56590" w:rsidTr="00B5791B">
        <w:trPr>
          <w:trHeight w:val="422"/>
        </w:trPr>
        <w:tc>
          <w:tcPr>
            <w:tcW w:w="2448" w:type="dxa"/>
            <w:vMerge/>
            <w:tcBorders>
              <w:top w:val="single" w:sz="6" w:space="0" w:color="auto"/>
              <w:bottom w:val="single" w:sz="6" w:space="0" w:color="auto"/>
              <w:right w:val="single" w:sz="12" w:space="0" w:color="auto"/>
            </w:tcBorders>
          </w:tcPr>
          <w:p w:rsidR="00E56590" w:rsidRDefault="00E56590"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6" w:space="0" w:color="auto"/>
              <w:right w:val="single" w:sz="12" w:space="0" w:color="auto"/>
            </w:tcBorders>
          </w:tcPr>
          <w:p w:rsidR="00E56590" w:rsidRDefault="00E56590"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10-19 years</w:t>
            </w:r>
          </w:p>
        </w:tc>
        <w:tc>
          <w:tcPr>
            <w:tcW w:w="2250" w:type="dxa"/>
            <w:tcBorders>
              <w:top w:val="single" w:sz="6" w:space="0" w:color="auto"/>
              <w:left w:val="single" w:sz="12" w:space="0" w:color="auto"/>
              <w:bottom w:val="single" w:sz="6" w:space="0" w:color="auto"/>
            </w:tcBorders>
          </w:tcPr>
          <w:p w:rsidR="00E56590" w:rsidRDefault="00B5791B"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14.2 </w:t>
            </w:r>
          </w:p>
          <w:p w:rsidR="00E56590" w:rsidRDefault="00E56590" w:rsidP="00E56590">
            <w:pPr>
              <w:contextualSpacing/>
              <w:rPr>
                <w:rFonts w:ascii="Times New Roman" w:eastAsia="Times New Roman" w:hAnsi="Times New Roman" w:cs="Times New Roman"/>
                <w:sz w:val="18"/>
                <w:szCs w:val="24"/>
              </w:rPr>
            </w:pPr>
          </w:p>
        </w:tc>
      </w:tr>
      <w:tr w:rsidR="00E56590" w:rsidTr="00B5791B">
        <w:trPr>
          <w:trHeight w:val="305"/>
        </w:trPr>
        <w:tc>
          <w:tcPr>
            <w:tcW w:w="2448" w:type="dxa"/>
            <w:vMerge/>
            <w:tcBorders>
              <w:top w:val="single" w:sz="6" w:space="0" w:color="auto"/>
              <w:bottom w:val="single" w:sz="6" w:space="0" w:color="auto"/>
              <w:right w:val="single" w:sz="12" w:space="0" w:color="auto"/>
            </w:tcBorders>
          </w:tcPr>
          <w:p w:rsidR="00E56590" w:rsidRDefault="00E56590"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6" w:space="0" w:color="auto"/>
              <w:right w:val="single" w:sz="12" w:space="0" w:color="auto"/>
            </w:tcBorders>
          </w:tcPr>
          <w:p w:rsidR="00E56590" w:rsidRDefault="00E56590"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20-29 years</w:t>
            </w:r>
          </w:p>
        </w:tc>
        <w:tc>
          <w:tcPr>
            <w:tcW w:w="2250" w:type="dxa"/>
            <w:tcBorders>
              <w:top w:val="single" w:sz="6" w:space="0" w:color="auto"/>
              <w:left w:val="single" w:sz="12" w:space="0" w:color="auto"/>
              <w:bottom w:val="single" w:sz="6" w:space="0" w:color="auto"/>
            </w:tcBorders>
          </w:tcPr>
          <w:p w:rsidR="00E56590" w:rsidRDefault="00B5791B"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12.4 </w:t>
            </w:r>
          </w:p>
          <w:p w:rsidR="00E56590" w:rsidRDefault="00E56590" w:rsidP="00E56590">
            <w:pPr>
              <w:contextualSpacing/>
              <w:rPr>
                <w:rFonts w:ascii="Times New Roman" w:eastAsia="Times New Roman" w:hAnsi="Times New Roman" w:cs="Times New Roman"/>
                <w:sz w:val="18"/>
                <w:szCs w:val="24"/>
              </w:rPr>
            </w:pPr>
          </w:p>
        </w:tc>
      </w:tr>
      <w:tr w:rsidR="00E56590" w:rsidTr="00B5791B">
        <w:trPr>
          <w:trHeight w:val="70"/>
        </w:trPr>
        <w:tc>
          <w:tcPr>
            <w:tcW w:w="2448" w:type="dxa"/>
            <w:vMerge/>
            <w:tcBorders>
              <w:top w:val="single" w:sz="6" w:space="0" w:color="auto"/>
              <w:bottom w:val="single" w:sz="6" w:space="0" w:color="auto"/>
              <w:right w:val="single" w:sz="12" w:space="0" w:color="auto"/>
            </w:tcBorders>
          </w:tcPr>
          <w:p w:rsidR="00E56590" w:rsidRDefault="00E56590"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12" w:space="0" w:color="auto"/>
              <w:right w:val="single" w:sz="12" w:space="0" w:color="auto"/>
            </w:tcBorders>
          </w:tcPr>
          <w:p w:rsidR="00E56590" w:rsidRDefault="00E56590"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30+ years</w:t>
            </w:r>
          </w:p>
        </w:tc>
        <w:tc>
          <w:tcPr>
            <w:tcW w:w="2250" w:type="dxa"/>
            <w:tcBorders>
              <w:top w:val="single" w:sz="6" w:space="0" w:color="auto"/>
              <w:left w:val="single" w:sz="12" w:space="0" w:color="auto"/>
              <w:bottom w:val="single" w:sz="12" w:space="0" w:color="auto"/>
            </w:tcBorders>
          </w:tcPr>
          <w:p w:rsidR="00E56590" w:rsidRDefault="00B5791B"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30.1 </w:t>
            </w:r>
          </w:p>
        </w:tc>
      </w:tr>
      <w:tr w:rsidR="001F76D6" w:rsidTr="00B5791B">
        <w:trPr>
          <w:trHeight w:val="261"/>
        </w:trPr>
        <w:tc>
          <w:tcPr>
            <w:tcW w:w="2448" w:type="dxa"/>
            <w:vMerge w:val="restart"/>
            <w:tcBorders>
              <w:top w:val="single" w:sz="12"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Number of offices employed</w:t>
            </w:r>
          </w:p>
          <w:p w:rsidR="001F76D6" w:rsidRPr="00C238F3" w:rsidRDefault="003C3AE1"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(n</w:t>
            </w:r>
            <w:r w:rsidR="001F76D6">
              <w:rPr>
                <w:rFonts w:ascii="Times New Roman" w:eastAsia="Times New Roman" w:hAnsi="Times New Roman" w:cs="Times New Roman"/>
                <w:sz w:val="18"/>
                <w:szCs w:val="24"/>
              </w:rPr>
              <w:t>=113)</w:t>
            </w:r>
          </w:p>
        </w:tc>
        <w:tc>
          <w:tcPr>
            <w:tcW w:w="2340" w:type="dxa"/>
            <w:tcBorders>
              <w:top w:val="single" w:sz="12" w:space="0" w:color="auto"/>
              <w:left w:val="single" w:sz="12" w:space="0" w:color="auto"/>
              <w:bottom w:val="single" w:sz="6" w:space="0" w:color="auto"/>
              <w:right w:val="single" w:sz="12" w:space="0" w:color="auto"/>
            </w:tcBorders>
          </w:tcPr>
          <w:p w:rsidR="001F76D6" w:rsidRPr="00C238F3" w:rsidRDefault="003C2C71" w:rsidP="001F76D6">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0 (Retired or un</w:t>
            </w:r>
            <w:r w:rsidR="001F76D6">
              <w:rPr>
                <w:rFonts w:ascii="Times New Roman" w:eastAsia="Times New Roman" w:hAnsi="Times New Roman" w:cs="Times New Roman"/>
                <w:sz w:val="18"/>
                <w:szCs w:val="24"/>
              </w:rPr>
              <w:t>employed)</w:t>
            </w:r>
          </w:p>
        </w:tc>
        <w:tc>
          <w:tcPr>
            <w:tcW w:w="2250" w:type="dxa"/>
            <w:tcBorders>
              <w:top w:val="single" w:sz="12" w:space="0" w:color="auto"/>
              <w:left w:val="single" w:sz="12" w:space="0" w:color="auto"/>
              <w:bottom w:val="single" w:sz="6" w:space="0" w:color="auto"/>
            </w:tcBorders>
          </w:tcPr>
          <w:p w:rsidR="001F76D6" w:rsidRDefault="00B5791B"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6.2  </w:t>
            </w:r>
          </w:p>
          <w:p w:rsidR="001F76D6" w:rsidRPr="00C238F3" w:rsidRDefault="001F76D6" w:rsidP="00E56590">
            <w:pPr>
              <w:contextualSpacing/>
              <w:rPr>
                <w:rFonts w:ascii="Times New Roman" w:eastAsia="Times New Roman" w:hAnsi="Times New Roman" w:cs="Times New Roman"/>
                <w:sz w:val="18"/>
                <w:szCs w:val="24"/>
              </w:rPr>
            </w:pPr>
          </w:p>
        </w:tc>
      </w:tr>
      <w:tr w:rsidR="001F76D6" w:rsidTr="00B5791B">
        <w:trPr>
          <w:trHeight w:val="258"/>
        </w:trPr>
        <w:tc>
          <w:tcPr>
            <w:tcW w:w="2448" w:type="dxa"/>
            <w:vMerge/>
            <w:tcBorders>
              <w:top w:val="single" w:sz="6"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6" w:space="0" w:color="auto"/>
              <w:right w:val="single" w:sz="12" w:space="0" w:color="auto"/>
            </w:tcBorders>
          </w:tcPr>
          <w:p w:rsidR="001F76D6" w:rsidRDefault="001F76D6" w:rsidP="001F76D6">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1</w:t>
            </w:r>
          </w:p>
        </w:tc>
        <w:tc>
          <w:tcPr>
            <w:tcW w:w="2250" w:type="dxa"/>
            <w:tcBorders>
              <w:top w:val="single" w:sz="6" w:space="0" w:color="auto"/>
              <w:left w:val="single" w:sz="12" w:space="0" w:color="auto"/>
              <w:bottom w:val="single" w:sz="6" w:space="0" w:color="auto"/>
            </w:tcBorders>
          </w:tcPr>
          <w:p w:rsidR="001F76D6" w:rsidRDefault="00B5791B" w:rsidP="001F76D6">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65.5 </w:t>
            </w:r>
          </w:p>
          <w:p w:rsidR="001F76D6" w:rsidRDefault="001F76D6" w:rsidP="00E56590">
            <w:pPr>
              <w:contextualSpacing/>
              <w:rPr>
                <w:rFonts w:ascii="Times New Roman" w:eastAsia="Times New Roman" w:hAnsi="Times New Roman" w:cs="Times New Roman"/>
                <w:sz w:val="18"/>
                <w:szCs w:val="24"/>
              </w:rPr>
            </w:pPr>
          </w:p>
        </w:tc>
      </w:tr>
      <w:tr w:rsidR="001F76D6" w:rsidTr="00B5791B">
        <w:trPr>
          <w:trHeight w:val="258"/>
        </w:trPr>
        <w:tc>
          <w:tcPr>
            <w:tcW w:w="2448" w:type="dxa"/>
            <w:vMerge/>
            <w:tcBorders>
              <w:top w:val="single" w:sz="6"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6" w:space="0" w:color="auto"/>
              <w:right w:val="single" w:sz="12" w:space="0" w:color="auto"/>
            </w:tcBorders>
          </w:tcPr>
          <w:p w:rsidR="001F76D6" w:rsidRDefault="001F76D6" w:rsidP="001F76D6">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2</w:t>
            </w:r>
          </w:p>
        </w:tc>
        <w:tc>
          <w:tcPr>
            <w:tcW w:w="2250" w:type="dxa"/>
            <w:tcBorders>
              <w:top w:val="single" w:sz="6" w:space="0" w:color="auto"/>
              <w:left w:val="single" w:sz="12" w:space="0" w:color="auto"/>
              <w:bottom w:val="single" w:sz="6" w:space="0" w:color="auto"/>
            </w:tcBorders>
          </w:tcPr>
          <w:p w:rsidR="001F76D6" w:rsidRDefault="00B5791B" w:rsidP="001F76D6">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20.4 </w:t>
            </w:r>
          </w:p>
          <w:p w:rsidR="001F76D6" w:rsidRDefault="001F76D6" w:rsidP="00E56590">
            <w:pPr>
              <w:contextualSpacing/>
              <w:rPr>
                <w:rFonts w:ascii="Times New Roman" w:eastAsia="Times New Roman" w:hAnsi="Times New Roman" w:cs="Times New Roman"/>
                <w:sz w:val="18"/>
                <w:szCs w:val="24"/>
              </w:rPr>
            </w:pPr>
          </w:p>
        </w:tc>
      </w:tr>
      <w:tr w:rsidR="001F76D6" w:rsidTr="00B5791B">
        <w:trPr>
          <w:trHeight w:val="210"/>
        </w:trPr>
        <w:tc>
          <w:tcPr>
            <w:tcW w:w="2448" w:type="dxa"/>
            <w:vMerge/>
            <w:tcBorders>
              <w:top w:val="single" w:sz="6"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6" w:space="0" w:color="auto"/>
              <w:right w:val="single" w:sz="12" w:space="0" w:color="auto"/>
            </w:tcBorders>
          </w:tcPr>
          <w:p w:rsidR="001F76D6" w:rsidRDefault="001F76D6" w:rsidP="001F76D6">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3</w:t>
            </w:r>
          </w:p>
        </w:tc>
        <w:tc>
          <w:tcPr>
            <w:tcW w:w="2250" w:type="dxa"/>
            <w:tcBorders>
              <w:top w:val="single" w:sz="6" w:space="0" w:color="auto"/>
              <w:left w:val="single" w:sz="12" w:space="0" w:color="auto"/>
              <w:bottom w:val="single" w:sz="6" w:space="0" w:color="auto"/>
            </w:tcBorders>
          </w:tcPr>
          <w:p w:rsidR="001F76D6" w:rsidRDefault="001F76D6" w:rsidP="001F76D6">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1.8  </w:t>
            </w:r>
          </w:p>
          <w:p w:rsidR="001F76D6" w:rsidRDefault="001F76D6" w:rsidP="00E56590">
            <w:pPr>
              <w:contextualSpacing/>
              <w:rPr>
                <w:rFonts w:ascii="Times New Roman" w:eastAsia="Times New Roman" w:hAnsi="Times New Roman" w:cs="Times New Roman"/>
                <w:sz w:val="18"/>
                <w:szCs w:val="24"/>
              </w:rPr>
            </w:pPr>
          </w:p>
        </w:tc>
      </w:tr>
      <w:tr w:rsidR="001F76D6" w:rsidTr="00B5791B">
        <w:trPr>
          <w:trHeight w:val="210"/>
        </w:trPr>
        <w:tc>
          <w:tcPr>
            <w:tcW w:w="2448" w:type="dxa"/>
            <w:vMerge/>
            <w:tcBorders>
              <w:top w:val="single" w:sz="6"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12" w:space="0" w:color="auto"/>
              <w:right w:val="single" w:sz="12" w:space="0" w:color="auto"/>
            </w:tcBorders>
          </w:tcPr>
          <w:p w:rsidR="001F76D6" w:rsidRDefault="001F76D6" w:rsidP="001F76D6">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4+</w:t>
            </w:r>
          </w:p>
        </w:tc>
        <w:tc>
          <w:tcPr>
            <w:tcW w:w="2250" w:type="dxa"/>
            <w:tcBorders>
              <w:top w:val="single" w:sz="6" w:space="0" w:color="auto"/>
              <w:left w:val="single" w:sz="12" w:space="0" w:color="auto"/>
              <w:bottom w:val="single" w:sz="12" w:space="0" w:color="auto"/>
            </w:tcBorders>
          </w:tcPr>
          <w:p w:rsidR="001F76D6" w:rsidRDefault="00B5791B"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6.2 </w:t>
            </w:r>
          </w:p>
        </w:tc>
      </w:tr>
      <w:tr w:rsidR="001F76D6" w:rsidTr="00B5791B">
        <w:trPr>
          <w:trHeight w:val="261"/>
        </w:trPr>
        <w:tc>
          <w:tcPr>
            <w:tcW w:w="2448" w:type="dxa"/>
            <w:vMerge w:val="restart"/>
            <w:tcBorders>
              <w:top w:val="single" w:sz="12"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Employment status, p</w:t>
            </w:r>
            <w:r w:rsidRPr="00C238F3">
              <w:rPr>
                <w:rFonts w:ascii="Times New Roman" w:eastAsia="Times New Roman" w:hAnsi="Times New Roman" w:cs="Times New Roman"/>
                <w:sz w:val="18"/>
                <w:szCs w:val="24"/>
              </w:rPr>
              <w:t xml:space="preserve">rimary </w:t>
            </w:r>
            <w:r>
              <w:rPr>
                <w:rFonts w:ascii="Times New Roman" w:eastAsia="Times New Roman" w:hAnsi="Times New Roman" w:cs="Times New Roman"/>
                <w:sz w:val="18"/>
                <w:szCs w:val="24"/>
              </w:rPr>
              <w:t>o</w:t>
            </w:r>
            <w:r w:rsidRPr="00C238F3">
              <w:rPr>
                <w:rFonts w:ascii="Times New Roman" w:eastAsia="Times New Roman" w:hAnsi="Times New Roman" w:cs="Times New Roman"/>
                <w:sz w:val="18"/>
                <w:szCs w:val="24"/>
              </w:rPr>
              <w:t>ffice</w:t>
            </w:r>
          </w:p>
          <w:p w:rsidR="001F76D6" w:rsidRPr="00C238F3" w:rsidRDefault="003C3AE1"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(n</w:t>
            </w:r>
            <w:r w:rsidR="001F76D6">
              <w:rPr>
                <w:rFonts w:ascii="Times New Roman" w:eastAsia="Times New Roman" w:hAnsi="Times New Roman" w:cs="Times New Roman"/>
                <w:sz w:val="18"/>
                <w:szCs w:val="24"/>
              </w:rPr>
              <w:t>=107)</w:t>
            </w:r>
          </w:p>
        </w:tc>
        <w:tc>
          <w:tcPr>
            <w:tcW w:w="2340" w:type="dxa"/>
            <w:tcBorders>
              <w:top w:val="single" w:sz="12" w:space="0" w:color="auto"/>
              <w:left w:val="single" w:sz="12" w:space="0" w:color="auto"/>
              <w:bottom w:val="single" w:sz="6" w:space="0" w:color="auto"/>
              <w:right w:val="single" w:sz="12" w:space="0" w:color="auto"/>
            </w:tcBorders>
          </w:tcPr>
          <w:p w:rsidR="001F76D6" w:rsidRPr="00DA522F" w:rsidRDefault="001F76D6" w:rsidP="00E56590">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 xml:space="preserve">Full time, permanent </w:t>
            </w:r>
          </w:p>
          <w:p w:rsidR="001F76D6" w:rsidRPr="00DA522F" w:rsidRDefault="001F76D6" w:rsidP="00E56590">
            <w:pPr>
              <w:contextualSpacing/>
              <w:rPr>
                <w:rFonts w:ascii="Times New Roman" w:eastAsia="Times New Roman" w:hAnsi="Times New Roman" w:cs="Times New Roman"/>
                <w:sz w:val="18"/>
                <w:szCs w:val="24"/>
              </w:rPr>
            </w:pPr>
          </w:p>
        </w:tc>
        <w:tc>
          <w:tcPr>
            <w:tcW w:w="2250" w:type="dxa"/>
            <w:tcBorders>
              <w:top w:val="single" w:sz="12" w:space="0" w:color="auto"/>
              <w:left w:val="single" w:sz="12" w:space="0" w:color="auto"/>
              <w:bottom w:val="single" w:sz="6" w:space="0" w:color="auto"/>
            </w:tcBorders>
          </w:tcPr>
          <w:p w:rsidR="001F76D6" w:rsidRPr="00DA522F" w:rsidRDefault="001F76D6" w:rsidP="00E56590">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57.9</w:t>
            </w:r>
            <w:r w:rsidR="00B5791B">
              <w:rPr>
                <w:rFonts w:ascii="Times New Roman" w:eastAsia="Times New Roman" w:hAnsi="Times New Roman" w:cs="Times New Roman"/>
                <w:sz w:val="18"/>
                <w:szCs w:val="24"/>
              </w:rPr>
              <w:t xml:space="preserve"> </w:t>
            </w:r>
          </w:p>
          <w:p w:rsidR="001F76D6" w:rsidRPr="00DA522F" w:rsidRDefault="001F76D6" w:rsidP="001F76D6">
            <w:pPr>
              <w:contextualSpacing/>
              <w:rPr>
                <w:rFonts w:ascii="Times New Roman" w:eastAsia="Times New Roman" w:hAnsi="Times New Roman" w:cs="Times New Roman"/>
                <w:sz w:val="18"/>
                <w:szCs w:val="24"/>
              </w:rPr>
            </w:pPr>
          </w:p>
        </w:tc>
      </w:tr>
      <w:tr w:rsidR="001F76D6" w:rsidTr="00B5791B">
        <w:trPr>
          <w:trHeight w:val="258"/>
        </w:trPr>
        <w:tc>
          <w:tcPr>
            <w:tcW w:w="2448" w:type="dxa"/>
            <w:vMerge/>
            <w:tcBorders>
              <w:top w:val="single" w:sz="6"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6" w:space="0" w:color="auto"/>
              <w:right w:val="single" w:sz="12" w:space="0" w:color="auto"/>
            </w:tcBorders>
          </w:tcPr>
          <w:p w:rsidR="001F76D6" w:rsidRPr="00DA522F" w:rsidRDefault="001F76D6" w:rsidP="001F76D6">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Part time, permanent</w:t>
            </w:r>
          </w:p>
          <w:p w:rsidR="001F76D6" w:rsidRPr="00DA522F" w:rsidRDefault="001F76D6" w:rsidP="00E56590">
            <w:pPr>
              <w:contextualSpacing/>
              <w:rPr>
                <w:rFonts w:ascii="Times New Roman" w:eastAsia="Times New Roman" w:hAnsi="Times New Roman" w:cs="Times New Roman"/>
                <w:sz w:val="18"/>
                <w:szCs w:val="24"/>
              </w:rPr>
            </w:pPr>
          </w:p>
        </w:tc>
        <w:tc>
          <w:tcPr>
            <w:tcW w:w="2250" w:type="dxa"/>
            <w:tcBorders>
              <w:top w:val="single" w:sz="6" w:space="0" w:color="auto"/>
              <w:left w:val="single" w:sz="12" w:space="0" w:color="auto"/>
              <w:bottom w:val="single" w:sz="6" w:space="0" w:color="auto"/>
            </w:tcBorders>
          </w:tcPr>
          <w:p w:rsidR="001F76D6" w:rsidRPr="00DA522F" w:rsidRDefault="001F76D6" w:rsidP="001F76D6">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33.6</w:t>
            </w:r>
            <w:r w:rsidR="00B5791B">
              <w:rPr>
                <w:rFonts w:ascii="Times New Roman" w:eastAsia="Times New Roman" w:hAnsi="Times New Roman" w:cs="Times New Roman"/>
                <w:sz w:val="18"/>
                <w:szCs w:val="24"/>
              </w:rPr>
              <w:t xml:space="preserve"> </w:t>
            </w:r>
          </w:p>
          <w:p w:rsidR="001F76D6" w:rsidRPr="00DA522F" w:rsidRDefault="001F76D6" w:rsidP="00E56590">
            <w:pPr>
              <w:contextualSpacing/>
              <w:rPr>
                <w:rFonts w:ascii="Times New Roman" w:eastAsia="Times New Roman" w:hAnsi="Times New Roman" w:cs="Times New Roman"/>
                <w:sz w:val="18"/>
                <w:szCs w:val="24"/>
              </w:rPr>
            </w:pPr>
          </w:p>
        </w:tc>
      </w:tr>
      <w:tr w:rsidR="001F76D6" w:rsidTr="00B5791B">
        <w:trPr>
          <w:trHeight w:val="258"/>
        </w:trPr>
        <w:tc>
          <w:tcPr>
            <w:tcW w:w="2448" w:type="dxa"/>
            <w:vMerge/>
            <w:tcBorders>
              <w:top w:val="single" w:sz="6"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6" w:space="0" w:color="auto"/>
              <w:right w:val="single" w:sz="12" w:space="0" w:color="auto"/>
            </w:tcBorders>
          </w:tcPr>
          <w:p w:rsidR="001F76D6" w:rsidRPr="00DA522F" w:rsidRDefault="001F76D6" w:rsidP="001F76D6">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Full time, temporary</w:t>
            </w:r>
          </w:p>
          <w:p w:rsidR="001F76D6" w:rsidRPr="00DA522F" w:rsidRDefault="001F76D6" w:rsidP="00E56590">
            <w:pPr>
              <w:contextualSpacing/>
              <w:rPr>
                <w:rFonts w:ascii="Times New Roman" w:eastAsia="Times New Roman" w:hAnsi="Times New Roman" w:cs="Times New Roman"/>
                <w:sz w:val="18"/>
                <w:szCs w:val="24"/>
              </w:rPr>
            </w:pPr>
          </w:p>
        </w:tc>
        <w:tc>
          <w:tcPr>
            <w:tcW w:w="2250" w:type="dxa"/>
            <w:tcBorders>
              <w:top w:val="single" w:sz="6" w:space="0" w:color="auto"/>
              <w:left w:val="single" w:sz="12" w:space="0" w:color="auto"/>
              <w:bottom w:val="single" w:sz="6" w:space="0" w:color="auto"/>
            </w:tcBorders>
          </w:tcPr>
          <w:p w:rsidR="001F76D6" w:rsidRPr="00DA522F" w:rsidRDefault="001F76D6" w:rsidP="001F76D6">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.9</w:t>
            </w:r>
            <w:r w:rsidR="00B5791B">
              <w:rPr>
                <w:rFonts w:ascii="Times New Roman" w:eastAsia="Times New Roman" w:hAnsi="Times New Roman" w:cs="Times New Roman"/>
                <w:sz w:val="18"/>
                <w:szCs w:val="24"/>
              </w:rPr>
              <w:t xml:space="preserve">   </w:t>
            </w:r>
          </w:p>
          <w:p w:rsidR="001F76D6" w:rsidRPr="00DA522F" w:rsidRDefault="001F76D6" w:rsidP="00E56590">
            <w:pPr>
              <w:contextualSpacing/>
              <w:rPr>
                <w:rFonts w:ascii="Times New Roman" w:eastAsia="Times New Roman" w:hAnsi="Times New Roman" w:cs="Times New Roman"/>
                <w:sz w:val="18"/>
                <w:szCs w:val="24"/>
              </w:rPr>
            </w:pPr>
          </w:p>
        </w:tc>
      </w:tr>
      <w:tr w:rsidR="001F76D6" w:rsidTr="00B5791B">
        <w:trPr>
          <w:trHeight w:val="258"/>
        </w:trPr>
        <w:tc>
          <w:tcPr>
            <w:tcW w:w="2448" w:type="dxa"/>
            <w:vMerge/>
            <w:tcBorders>
              <w:top w:val="single" w:sz="6"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12" w:space="0" w:color="auto"/>
              <w:right w:val="single" w:sz="12" w:space="0" w:color="auto"/>
            </w:tcBorders>
          </w:tcPr>
          <w:p w:rsidR="001F76D6" w:rsidRPr="00DA522F" w:rsidRDefault="001F76D6" w:rsidP="00E56590">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Part time, temporary</w:t>
            </w:r>
          </w:p>
        </w:tc>
        <w:tc>
          <w:tcPr>
            <w:tcW w:w="2250" w:type="dxa"/>
            <w:tcBorders>
              <w:top w:val="single" w:sz="6" w:space="0" w:color="auto"/>
              <w:left w:val="single" w:sz="12" w:space="0" w:color="auto"/>
              <w:bottom w:val="single" w:sz="12" w:space="0" w:color="auto"/>
            </w:tcBorders>
          </w:tcPr>
          <w:p w:rsidR="001F76D6" w:rsidRPr="00DA522F" w:rsidRDefault="00B5791B" w:rsidP="001F76D6">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7.1 </w:t>
            </w:r>
          </w:p>
          <w:p w:rsidR="001F76D6" w:rsidRPr="00DA522F" w:rsidRDefault="001F76D6" w:rsidP="00E56590">
            <w:pPr>
              <w:contextualSpacing/>
              <w:rPr>
                <w:rFonts w:ascii="Times New Roman" w:eastAsia="Times New Roman" w:hAnsi="Times New Roman" w:cs="Times New Roman"/>
                <w:sz w:val="18"/>
                <w:szCs w:val="24"/>
              </w:rPr>
            </w:pPr>
          </w:p>
        </w:tc>
      </w:tr>
      <w:tr w:rsidR="001F76D6" w:rsidTr="00B5791B">
        <w:trPr>
          <w:trHeight w:val="402"/>
        </w:trPr>
        <w:tc>
          <w:tcPr>
            <w:tcW w:w="2448" w:type="dxa"/>
            <w:vMerge w:val="restart"/>
            <w:tcBorders>
              <w:top w:val="single" w:sz="12"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Hours </w:t>
            </w:r>
            <w:r w:rsidRPr="00C238F3">
              <w:rPr>
                <w:rFonts w:ascii="Times New Roman" w:eastAsia="Times New Roman" w:hAnsi="Times New Roman" w:cs="Times New Roman"/>
                <w:sz w:val="18"/>
                <w:szCs w:val="24"/>
              </w:rPr>
              <w:t>employed in primary office</w:t>
            </w:r>
          </w:p>
          <w:p w:rsidR="001F76D6" w:rsidRPr="00C238F3" w:rsidRDefault="003C3AE1"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(n</w:t>
            </w:r>
            <w:r w:rsidR="001F76D6">
              <w:rPr>
                <w:rFonts w:ascii="Times New Roman" w:eastAsia="Times New Roman" w:hAnsi="Times New Roman" w:cs="Times New Roman"/>
                <w:sz w:val="18"/>
                <w:szCs w:val="24"/>
              </w:rPr>
              <w:t>=107)</w:t>
            </w:r>
          </w:p>
        </w:tc>
        <w:tc>
          <w:tcPr>
            <w:tcW w:w="2340" w:type="dxa"/>
            <w:tcBorders>
              <w:top w:val="single" w:sz="12" w:space="0" w:color="auto"/>
              <w:left w:val="single" w:sz="12" w:space="0" w:color="auto"/>
              <w:bottom w:val="single" w:sz="6" w:space="0" w:color="auto"/>
              <w:right w:val="single" w:sz="12" w:space="0" w:color="auto"/>
            </w:tcBorders>
          </w:tcPr>
          <w:p w:rsidR="003C2C71" w:rsidRPr="00DA522F" w:rsidRDefault="003C2C71" w:rsidP="003C2C71">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&gt;10 hours</w:t>
            </w:r>
          </w:p>
        </w:tc>
        <w:tc>
          <w:tcPr>
            <w:tcW w:w="2250" w:type="dxa"/>
            <w:tcBorders>
              <w:top w:val="single" w:sz="12" w:space="0" w:color="auto"/>
              <w:left w:val="single" w:sz="12" w:space="0" w:color="auto"/>
              <w:bottom w:val="single" w:sz="6"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12.1</w:t>
            </w:r>
            <w:r w:rsidR="00B5791B">
              <w:rPr>
                <w:rFonts w:ascii="Times New Roman" w:eastAsia="Times New Roman" w:hAnsi="Times New Roman" w:cs="Times New Roman"/>
                <w:sz w:val="18"/>
                <w:szCs w:val="24"/>
              </w:rPr>
              <w:t xml:space="preserve"> </w:t>
            </w:r>
          </w:p>
          <w:p w:rsidR="001F76D6" w:rsidRPr="00DA522F" w:rsidRDefault="001F76D6" w:rsidP="003C2C71">
            <w:pPr>
              <w:contextualSpacing/>
              <w:rPr>
                <w:rFonts w:ascii="Times New Roman" w:eastAsia="Times New Roman" w:hAnsi="Times New Roman" w:cs="Times New Roman"/>
                <w:sz w:val="18"/>
                <w:szCs w:val="24"/>
              </w:rPr>
            </w:pPr>
          </w:p>
          <w:p w:rsidR="001F76D6" w:rsidRPr="00DA522F" w:rsidRDefault="001F76D6" w:rsidP="003C2C71">
            <w:pPr>
              <w:contextualSpacing/>
              <w:rPr>
                <w:rFonts w:ascii="Times New Roman" w:eastAsia="Times New Roman" w:hAnsi="Times New Roman" w:cs="Times New Roman"/>
                <w:sz w:val="18"/>
                <w:szCs w:val="24"/>
              </w:rPr>
            </w:pPr>
          </w:p>
        </w:tc>
      </w:tr>
      <w:tr w:rsidR="001F76D6" w:rsidTr="00B5791B">
        <w:trPr>
          <w:trHeight w:val="258"/>
        </w:trPr>
        <w:tc>
          <w:tcPr>
            <w:tcW w:w="2448" w:type="dxa"/>
            <w:vMerge/>
            <w:tcBorders>
              <w:top w:val="single" w:sz="6"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6" w:space="0" w:color="auto"/>
              <w:right w:val="single" w:sz="12"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10-20 hours</w:t>
            </w:r>
          </w:p>
          <w:p w:rsidR="001F76D6" w:rsidRPr="00DA522F" w:rsidRDefault="001F76D6" w:rsidP="003C2C71">
            <w:pPr>
              <w:contextualSpacing/>
              <w:rPr>
                <w:rFonts w:ascii="Times New Roman" w:eastAsia="Times New Roman" w:hAnsi="Times New Roman" w:cs="Times New Roman"/>
                <w:sz w:val="18"/>
                <w:szCs w:val="24"/>
              </w:rPr>
            </w:pPr>
          </w:p>
        </w:tc>
        <w:tc>
          <w:tcPr>
            <w:tcW w:w="2250" w:type="dxa"/>
            <w:tcBorders>
              <w:top w:val="single" w:sz="6" w:space="0" w:color="auto"/>
              <w:left w:val="single" w:sz="12" w:space="0" w:color="auto"/>
              <w:bottom w:val="single" w:sz="6"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20.6</w:t>
            </w:r>
            <w:r w:rsidR="00B5791B">
              <w:rPr>
                <w:rFonts w:ascii="Times New Roman" w:eastAsia="Times New Roman" w:hAnsi="Times New Roman" w:cs="Times New Roman"/>
                <w:sz w:val="18"/>
                <w:szCs w:val="24"/>
              </w:rPr>
              <w:t xml:space="preserve"> </w:t>
            </w:r>
          </w:p>
          <w:p w:rsidR="001F76D6" w:rsidRPr="00DA522F" w:rsidRDefault="001F76D6" w:rsidP="003C2C71">
            <w:pPr>
              <w:contextualSpacing/>
              <w:rPr>
                <w:rFonts w:ascii="Times New Roman" w:eastAsia="Times New Roman" w:hAnsi="Times New Roman" w:cs="Times New Roman"/>
                <w:sz w:val="18"/>
                <w:szCs w:val="24"/>
              </w:rPr>
            </w:pPr>
          </w:p>
        </w:tc>
      </w:tr>
      <w:tr w:rsidR="001F76D6" w:rsidTr="00B5791B">
        <w:trPr>
          <w:trHeight w:val="258"/>
        </w:trPr>
        <w:tc>
          <w:tcPr>
            <w:tcW w:w="2448" w:type="dxa"/>
            <w:vMerge/>
            <w:tcBorders>
              <w:top w:val="single" w:sz="6" w:space="0" w:color="auto"/>
              <w:bottom w:val="single" w:sz="6"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6" w:space="0" w:color="auto"/>
              <w:right w:val="single" w:sz="12"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21-30 hours</w:t>
            </w:r>
          </w:p>
          <w:p w:rsidR="001F76D6" w:rsidRPr="00DA522F" w:rsidRDefault="001F76D6" w:rsidP="003C2C71">
            <w:pPr>
              <w:contextualSpacing/>
              <w:rPr>
                <w:rFonts w:ascii="Times New Roman" w:eastAsia="Times New Roman" w:hAnsi="Times New Roman" w:cs="Times New Roman"/>
                <w:sz w:val="18"/>
                <w:szCs w:val="24"/>
              </w:rPr>
            </w:pPr>
          </w:p>
        </w:tc>
        <w:tc>
          <w:tcPr>
            <w:tcW w:w="2250" w:type="dxa"/>
            <w:tcBorders>
              <w:top w:val="single" w:sz="6" w:space="0" w:color="auto"/>
              <w:left w:val="single" w:sz="12" w:space="0" w:color="auto"/>
              <w:bottom w:val="single" w:sz="6"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17.8</w:t>
            </w:r>
            <w:r w:rsidR="00B5791B">
              <w:rPr>
                <w:rFonts w:ascii="Times New Roman" w:eastAsia="Times New Roman" w:hAnsi="Times New Roman" w:cs="Times New Roman"/>
                <w:sz w:val="18"/>
                <w:szCs w:val="24"/>
              </w:rPr>
              <w:t xml:space="preserve"> </w:t>
            </w:r>
          </w:p>
        </w:tc>
      </w:tr>
      <w:tr w:rsidR="001F76D6" w:rsidTr="00B5791B">
        <w:trPr>
          <w:trHeight w:val="258"/>
        </w:trPr>
        <w:tc>
          <w:tcPr>
            <w:tcW w:w="2448" w:type="dxa"/>
            <w:vMerge/>
            <w:tcBorders>
              <w:top w:val="single" w:sz="6" w:space="0" w:color="auto"/>
              <w:bottom w:val="single" w:sz="12"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p>
        </w:tc>
        <w:tc>
          <w:tcPr>
            <w:tcW w:w="2340" w:type="dxa"/>
            <w:tcBorders>
              <w:top w:val="single" w:sz="6" w:space="0" w:color="auto"/>
              <w:left w:val="single" w:sz="12" w:space="0" w:color="auto"/>
              <w:bottom w:val="single" w:sz="12" w:space="0" w:color="auto"/>
              <w:right w:val="single" w:sz="12"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30+ hours</w:t>
            </w:r>
          </w:p>
        </w:tc>
        <w:tc>
          <w:tcPr>
            <w:tcW w:w="2250" w:type="dxa"/>
            <w:tcBorders>
              <w:top w:val="single" w:sz="6" w:space="0" w:color="auto"/>
              <w:left w:val="single" w:sz="12" w:space="0" w:color="auto"/>
              <w:bottom w:val="single" w:sz="12"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49.5</w:t>
            </w:r>
            <w:r w:rsidR="00B5791B">
              <w:rPr>
                <w:rFonts w:ascii="Times New Roman" w:eastAsia="Times New Roman" w:hAnsi="Times New Roman" w:cs="Times New Roman"/>
                <w:sz w:val="18"/>
                <w:szCs w:val="24"/>
              </w:rPr>
              <w:t xml:space="preserve"> </w:t>
            </w:r>
          </w:p>
          <w:p w:rsidR="001F76D6" w:rsidRPr="00DA522F" w:rsidRDefault="001F76D6" w:rsidP="003C2C71">
            <w:pPr>
              <w:contextualSpacing/>
              <w:rPr>
                <w:rFonts w:ascii="Times New Roman" w:eastAsia="Times New Roman" w:hAnsi="Times New Roman" w:cs="Times New Roman"/>
                <w:sz w:val="18"/>
                <w:szCs w:val="24"/>
              </w:rPr>
            </w:pPr>
          </w:p>
        </w:tc>
      </w:tr>
      <w:tr w:rsidR="001F76D6" w:rsidTr="00B5791B">
        <w:trPr>
          <w:trHeight w:val="207"/>
        </w:trPr>
        <w:tc>
          <w:tcPr>
            <w:tcW w:w="2448" w:type="dxa"/>
            <w:vMerge w:val="restart"/>
            <w:tcBorders>
              <w:top w:val="single" w:sz="12" w:space="0" w:color="auto"/>
              <w:bottom w:val="single" w:sz="12" w:space="0" w:color="auto"/>
              <w:right w:val="single" w:sz="12" w:space="0" w:color="auto"/>
            </w:tcBorders>
          </w:tcPr>
          <w:p w:rsidR="001F76D6" w:rsidRDefault="001F76D6" w:rsidP="00E56590">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Highest degree level completed</w:t>
            </w:r>
          </w:p>
          <w:p w:rsidR="001F76D6" w:rsidRPr="00DA522F" w:rsidRDefault="003C3AE1" w:rsidP="00E56590">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(n</w:t>
            </w:r>
            <w:r w:rsidR="001F76D6">
              <w:rPr>
                <w:rFonts w:ascii="Times New Roman" w:eastAsia="Times New Roman" w:hAnsi="Times New Roman" w:cs="Times New Roman"/>
                <w:sz w:val="18"/>
                <w:szCs w:val="24"/>
              </w:rPr>
              <w:t>=112)</w:t>
            </w:r>
          </w:p>
        </w:tc>
        <w:tc>
          <w:tcPr>
            <w:tcW w:w="2340" w:type="dxa"/>
            <w:tcBorders>
              <w:top w:val="single" w:sz="12" w:space="0" w:color="auto"/>
              <w:left w:val="single" w:sz="12" w:space="0" w:color="auto"/>
              <w:right w:val="single" w:sz="12"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Associate’s</w:t>
            </w:r>
          </w:p>
          <w:p w:rsidR="001F76D6" w:rsidRPr="00DA522F" w:rsidRDefault="001F76D6" w:rsidP="003C2C71">
            <w:pPr>
              <w:contextualSpacing/>
              <w:rPr>
                <w:rFonts w:ascii="Times New Roman" w:eastAsia="Times New Roman" w:hAnsi="Times New Roman" w:cs="Times New Roman"/>
                <w:sz w:val="18"/>
                <w:szCs w:val="24"/>
              </w:rPr>
            </w:pPr>
          </w:p>
        </w:tc>
        <w:tc>
          <w:tcPr>
            <w:tcW w:w="2250" w:type="dxa"/>
            <w:tcBorders>
              <w:top w:val="single" w:sz="12" w:space="0" w:color="auto"/>
              <w:left w:val="single" w:sz="12" w:space="0" w:color="auto"/>
            </w:tcBorders>
          </w:tcPr>
          <w:p w:rsidR="001F76D6"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37.5</w:t>
            </w:r>
            <w:r w:rsidR="00B5791B">
              <w:rPr>
                <w:rFonts w:ascii="Times New Roman" w:eastAsia="Times New Roman" w:hAnsi="Times New Roman" w:cs="Times New Roman"/>
                <w:sz w:val="18"/>
                <w:szCs w:val="24"/>
              </w:rPr>
              <w:t xml:space="preserve"> </w:t>
            </w:r>
          </w:p>
          <w:p w:rsidR="001F76D6" w:rsidRPr="00DA522F" w:rsidRDefault="001F76D6" w:rsidP="003C2C71">
            <w:pPr>
              <w:contextualSpacing/>
              <w:rPr>
                <w:rFonts w:ascii="Times New Roman" w:eastAsia="Times New Roman" w:hAnsi="Times New Roman" w:cs="Times New Roman"/>
                <w:sz w:val="18"/>
                <w:szCs w:val="24"/>
              </w:rPr>
            </w:pPr>
          </w:p>
        </w:tc>
      </w:tr>
      <w:tr w:rsidR="001F76D6" w:rsidTr="00B5791B">
        <w:trPr>
          <w:trHeight w:val="206"/>
        </w:trPr>
        <w:tc>
          <w:tcPr>
            <w:tcW w:w="2448" w:type="dxa"/>
            <w:vMerge/>
            <w:tcBorders>
              <w:top w:val="single" w:sz="6" w:space="0" w:color="auto"/>
              <w:bottom w:val="single" w:sz="12" w:space="0" w:color="auto"/>
              <w:right w:val="single" w:sz="12" w:space="0" w:color="auto"/>
            </w:tcBorders>
          </w:tcPr>
          <w:p w:rsidR="001F76D6" w:rsidRPr="00DA522F" w:rsidRDefault="001F76D6" w:rsidP="00E56590">
            <w:pPr>
              <w:contextualSpacing/>
              <w:rPr>
                <w:rFonts w:ascii="Times New Roman" w:eastAsia="Times New Roman" w:hAnsi="Times New Roman" w:cs="Times New Roman"/>
                <w:sz w:val="18"/>
                <w:szCs w:val="24"/>
              </w:rPr>
            </w:pPr>
          </w:p>
        </w:tc>
        <w:tc>
          <w:tcPr>
            <w:tcW w:w="2340" w:type="dxa"/>
            <w:tcBorders>
              <w:left w:val="single" w:sz="12" w:space="0" w:color="auto"/>
              <w:right w:val="single" w:sz="12"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Bachelor’s</w:t>
            </w:r>
          </w:p>
          <w:p w:rsidR="001F76D6" w:rsidRPr="00DA522F" w:rsidRDefault="001F76D6" w:rsidP="003C2C71">
            <w:pPr>
              <w:contextualSpacing/>
              <w:rPr>
                <w:rFonts w:ascii="Times New Roman" w:eastAsia="Times New Roman" w:hAnsi="Times New Roman" w:cs="Times New Roman"/>
                <w:sz w:val="18"/>
                <w:szCs w:val="24"/>
              </w:rPr>
            </w:pPr>
          </w:p>
        </w:tc>
        <w:tc>
          <w:tcPr>
            <w:tcW w:w="2250" w:type="dxa"/>
            <w:tcBorders>
              <w:left w:val="single" w:sz="12"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46.4</w:t>
            </w:r>
          </w:p>
          <w:p w:rsidR="001F76D6" w:rsidRPr="00DA522F" w:rsidRDefault="001F76D6" w:rsidP="003C2C71">
            <w:pPr>
              <w:contextualSpacing/>
              <w:rPr>
                <w:rFonts w:ascii="Times New Roman" w:eastAsia="Times New Roman" w:hAnsi="Times New Roman" w:cs="Times New Roman"/>
                <w:sz w:val="18"/>
                <w:szCs w:val="24"/>
              </w:rPr>
            </w:pPr>
          </w:p>
        </w:tc>
      </w:tr>
      <w:tr w:rsidR="001F76D6" w:rsidTr="00B5791B">
        <w:trPr>
          <w:trHeight w:val="206"/>
        </w:trPr>
        <w:tc>
          <w:tcPr>
            <w:tcW w:w="2448" w:type="dxa"/>
            <w:vMerge/>
            <w:tcBorders>
              <w:top w:val="single" w:sz="6" w:space="0" w:color="auto"/>
              <w:bottom w:val="single" w:sz="12" w:space="0" w:color="auto"/>
              <w:right w:val="single" w:sz="12" w:space="0" w:color="auto"/>
            </w:tcBorders>
          </w:tcPr>
          <w:p w:rsidR="001F76D6" w:rsidRPr="00DA522F" w:rsidRDefault="001F76D6" w:rsidP="00E56590">
            <w:pPr>
              <w:contextualSpacing/>
              <w:rPr>
                <w:rFonts w:ascii="Times New Roman" w:eastAsia="Times New Roman" w:hAnsi="Times New Roman" w:cs="Times New Roman"/>
                <w:sz w:val="18"/>
                <w:szCs w:val="24"/>
              </w:rPr>
            </w:pPr>
          </w:p>
        </w:tc>
        <w:tc>
          <w:tcPr>
            <w:tcW w:w="2340" w:type="dxa"/>
            <w:tcBorders>
              <w:left w:val="single" w:sz="12" w:space="0" w:color="auto"/>
              <w:right w:val="single" w:sz="12"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Master’s</w:t>
            </w:r>
          </w:p>
          <w:p w:rsidR="001F76D6" w:rsidRPr="00DA522F" w:rsidRDefault="001F76D6" w:rsidP="003C2C71">
            <w:pPr>
              <w:contextualSpacing/>
              <w:rPr>
                <w:rFonts w:ascii="Times New Roman" w:eastAsia="Times New Roman" w:hAnsi="Times New Roman" w:cs="Times New Roman"/>
                <w:sz w:val="18"/>
                <w:szCs w:val="24"/>
              </w:rPr>
            </w:pPr>
          </w:p>
        </w:tc>
        <w:tc>
          <w:tcPr>
            <w:tcW w:w="2250" w:type="dxa"/>
            <w:tcBorders>
              <w:left w:val="single" w:sz="12"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15.2</w:t>
            </w:r>
            <w:r w:rsidR="00B5791B">
              <w:rPr>
                <w:rFonts w:ascii="Times New Roman" w:eastAsia="Times New Roman" w:hAnsi="Times New Roman" w:cs="Times New Roman"/>
                <w:sz w:val="18"/>
                <w:szCs w:val="24"/>
              </w:rPr>
              <w:t xml:space="preserve"> </w:t>
            </w:r>
          </w:p>
          <w:p w:rsidR="001F76D6" w:rsidRPr="00DA522F" w:rsidRDefault="001F76D6" w:rsidP="003C2C71">
            <w:pPr>
              <w:contextualSpacing/>
              <w:rPr>
                <w:rFonts w:ascii="Times New Roman" w:eastAsia="Times New Roman" w:hAnsi="Times New Roman" w:cs="Times New Roman"/>
                <w:sz w:val="18"/>
                <w:szCs w:val="24"/>
              </w:rPr>
            </w:pPr>
          </w:p>
        </w:tc>
      </w:tr>
      <w:tr w:rsidR="001F76D6" w:rsidTr="00C9078A">
        <w:trPr>
          <w:trHeight w:val="206"/>
        </w:trPr>
        <w:tc>
          <w:tcPr>
            <w:tcW w:w="2448" w:type="dxa"/>
            <w:vMerge/>
            <w:tcBorders>
              <w:top w:val="single" w:sz="6" w:space="0" w:color="auto"/>
              <w:bottom w:val="single" w:sz="12" w:space="0" w:color="auto"/>
              <w:right w:val="single" w:sz="12" w:space="0" w:color="auto"/>
            </w:tcBorders>
          </w:tcPr>
          <w:p w:rsidR="001F76D6" w:rsidRPr="00DA522F" w:rsidRDefault="001F76D6" w:rsidP="00E56590">
            <w:pPr>
              <w:contextualSpacing/>
              <w:rPr>
                <w:rFonts w:ascii="Times New Roman" w:eastAsia="Times New Roman" w:hAnsi="Times New Roman" w:cs="Times New Roman"/>
                <w:sz w:val="18"/>
                <w:szCs w:val="24"/>
              </w:rPr>
            </w:pPr>
          </w:p>
        </w:tc>
        <w:tc>
          <w:tcPr>
            <w:tcW w:w="2340" w:type="dxa"/>
            <w:tcBorders>
              <w:left w:val="single" w:sz="12" w:space="0" w:color="auto"/>
              <w:bottom w:val="single" w:sz="12" w:space="0" w:color="auto"/>
              <w:right w:val="single" w:sz="12" w:space="0" w:color="auto"/>
            </w:tcBorders>
          </w:tcPr>
          <w:p w:rsidR="001F76D6" w:rsidRPr="00DA522F" w:rsidRDefault="001F76D6"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Doctoral</w:t>
            </w:r>
          </w:p>
        </w:tc>
        <w:tc>
          <w:tcPr>
            <w:tcW w:w="2250" w:type="dxa"/>
            <w:tcBorders>
              <w:left w:val="single" w:sz="12" w:space="0" w:color="auto"/>
              <w:bottom w:val="single" w:sz="12" w:space="0" w:color="auto"/>
            </w:tcBorders>
          </w:tcPr>
          <w:p w:rsidR="001F76D6" w:rsidRPr="00DA522F" w:rsidRDefault="003C2C71" w:rsidP="003C2C71">
            <w:pPr>
              <w:contextualSpacing/>
              <w:rPr>
                <w:rFonts w:ascii="Times New Roman" w:eastAsia="Times New Roman" w:hAnsi="Times New Roman" w:cs="Times New Roman"/>
                <w:sz w:val="18"/>
                <w:szCs w:val="24"/>
              </w:rPr>
            </w:pPr>
            <w:r w:rsidRPr="00DA522F">
              <w:rPr>
                <w:rFonts w:ascii="Times New Roman" w:eastAsia="Times New Roman" w:hAnsi="Times New Roman" w:cs="Times New Roman"/>
                <w:sz w:val="18"/>
                <w:szCs w:val="24"/>
              </w:rPr>
              <w:t>.9</w:t>
            </w:r>
            <w:r w:rsidR="00B5791B">
              <w:rPr>
                <w:rFonts w:ascii="Times New Roman" w:eastAsia="Times New Roman" w:hAnsi="Times New Roman" w:cs="Times New Roman"/>
                <w:sz w:val="18"/>
                <w:szCs w:val="24"/>
              </w:rPr>
              <w:t xml:space="preserve"> </w:t>
            </w:r>
          </w:p>
        </w:tc>
      </w:tr>
    </w:tbl>
    <w:p w:rsidR="00843F23" w:rsidRDefault="00843F23" w:rsidP="005D224A">
      <w:pPr>
        <w:spacing w:line="480" w:lineRule="auto"/>
        <w:contextualSpacing/>
        <w:rPr>
          <w:rFonts w:ascii="Times New Roman" w:eastAsia="Times New Roman" w:hAnsi="Times New Roman" w:cs="Times New Roman"/>
          <w:b/>
          <w:sz w:val="18"/>
          <w:szCs w:val="24"/>
        </w:rPr>
      </w:pPr>
    </w:p>
    <w:p w:rsidR="00C238F3" w:rsidRDefault="00C238F3" w:rsidP="005D224A">
      <w:pPr>
        <w:spacing w:line="480" w:lineRule="auto"/>
        <w:contextualSpacing/>
        <w:rPr>
          <w:rFonts w:ascii="Times New Roman" w:eastAsia="Times New Roman" w:hAnsi="Times New Roman" w:cs="Times New Roman"/>
          <w:b/>
          <w:sz w:val="18"/>
          <w:szCs w:val="24"/>
        </w:rPr>
      </w:pPr>
    </w:p>
    <w:p w:rsidR="00C238F3" w:rsidRDefault="00C238F3" w:rsidP="005D224A">
      <w:pPr>
        <w:spacing w:line="480" w:lineRule="auto"/>
        <w:contextualSpacing/>
        <w:rPr>
          <w:rFonts w:ascii="Times New Roman" w:eastAsia="Times New Roman" w:hAnsi="Times New Roman" w:cs="Times New Roman"/>
          <w:b/>
          <w:sz w:val="18"/>
          <w:szCs w:val="24"/>
        </w:rPr>
      </w:pPr>
    </w:p>
    <w:p w:rsidR="00B5791B" w:rsidRDefault="00B5791B" w:rsidP="00081444">
      <w:pPr>
        <w:spacing w:line="240" w:lineRule="auto"/>
        <w:contextualSpacing/>
        <w:rPr>
          <w:rFonts w:ascii="Times New Roman" w:eastAsia="Times New Roman" w:hAnsi="Times New Roman" w:cs="Times New Roman"/>
          <w:b/>
          <w:sz w:val="18"/>
          <w:szCs w:val="24"/>
        </w:rPr>
      </w:pPr>
    </w:p>
    <w:p w:rsidR="00C9078A" w:rsidRDefault="00C9078A" w:rsidP="00E46218">
      <w:pPr>
        <w:spacing w:line="480" w:lineRule="auto"/>
        <w:contextualSpacing/>
        <w:rPr>
          <w:rFonts w:ascii="Times New Roman" w:eastAsia="Times New Roman" w:hAnsi="Times New Roman" w:cs="Times New Roman"/>
          <w:b/>
          <w:sz w:val="18"/>
          <w:szCs w:val="24"/>
        </w:rPr>
      </w:pPr>
    </w:p>
    <w:p w:rsidR="00C9078A" w:rsidRDefault="00C9078A" w:rsidP="00E46218">
      <w:pPr>
        <w:spacing w:line="480" w:lineRule="auto"/>
        <w:contextualSpacing/>
        <w:rPr>
          <w:rFonts w:ascii="Times New Roman" w:eastAsia="Times New Roman" w:hAnsi="Times New Roman" w:cs="Times New Roman"/>
          <w:b/>
          <w:sz w:val="18"/>
          <w:szCs w:val="24"/>
        </w:rPr>
      </w:pPr>
    </w:p>
    <w:p w:rsidR="00C9078A" w:rsidRDefault="00C9078A" w:rsidP="00E46218">
      <w:pPr>
        <w:spacing w:line="480" w:lineRule="auto"/>
        <w:contextualSpacing/>
        <w:rPr>
          <w:rFonts w:ascii="Times New Roman" w:eastAsia="Times New Roman" w:hAnsi="Times New Roman" w:cs="Times New Roman"/>
          <w:b/>
          <w:sz w:val="18"/>
          <w:szCs w:val="24"/>
        </w:rPr>
      </w:pPr>
    </w:p>
    <w:p w:rsidR="00C9078A" w:rsidRDefault="00C9078A" w:rsidP="00E46218">
      <w:pPr>
        <w:spacing w:line="480" w:lineRule="auto"/>
        <w:contextualSpacing/>
        <w:rPr>
          <w:rFonts w:ascii="Times New Roman" w:eastAsia="Times New Roman" w:hAnsi="Times New Roman" w:cs="Times New Roman"/>
          <w:b/>
          <w:sz w:val="18"/>
          <w:szCs w:val="24"/>
        </w:rPr>
      </w:pPr>
    </w:p>
    <w:p w:rsidR="005D224A" w:rsidRDefault="00AC3A01" w:rsidP="00E46218">
      <w:pPr>
        <w:spacing w:line="480" w:lineRule="auto"/>
        <w:contextualSpacing/>
        <w:rPr>
          <w:rFonts w:ascii="Times New Roman" w:eastAsia="Times New Roman" w:hAnsi="Times New Roman" w:cs="Times New Roman"/>
          <w:b/>
          <w:sz w:val="18"/>
          <w:szCs w:val="24"/>
        </w:rPr>
      </w:pPr>
      <w:r>
        <w:rPr>
          <w:rFonts w:ascii="Times New Roman" w:eastAsia="Times New Roman" w:hAnsi="Times New Roman" w:cs="Times New Roman"/>
          <w:b/>
          <w:sz w:val="18"/>
          <w:szCs w:val="24"/>
        </w:rPr>
        <w:lastRenderedPageBreak/>
        <w:t>Graph 1</w:t>
      </w:r>
    </w:p>
    <w:p w:rsidR="005D224A" w:rsidRPr="00F516B1" w:rsidRDefault="008C1387" w:rsidP="00E46218">
      <w:pPr>
        <w:spacing w:line="480" w:lineRule="auto"/>
        <w:contextualSpacing/>
        <w:rPr>
          <w:rFonts w:ascii="Times New Roman" w:eastAsia="Times New Roman" w:hAnsi="Times New Roman" w:cs="Times New Roman"/>
          <w:b/>
          <w:sz w:val="18"/>
          <w:szCs w:val="24"/>
        </w:rPr>
      </w:pPr>
      <w:r>
        <w:rPr>
          <w:rFonts w:ascii="Times New Roman" w:eastAsia="Times New Roman" w:hAnsi="Times New Roman" w:cs="Times New Roman"/>
          <w:b/>
          <w:sz w:val="18"/>
          <w:szCs w:val="24"/>
        </w:rPr>
        <w:t>Frequency table of periodontal assessment procedures performed on adult recall patients</w:t>
      </w:r>
    </w:p>
    <w:p w:rsidR="005D224A" w:rsidRPr="005E4C12" w:rsidRDefault="003C3AE1" w:rsidP="00E46218">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18"/>
          <w:szCs w:val="24"/>
        </w:rPr>
        <w:t xml:space="preserve">Survey Question:  </w:t>
      </w:r>
      <w:r w:rsidR="005D224A" w:rsidRPr="005E4C12">
        <w:rPr>
          <w:rFonts w:ascii="Times New Roman" w:eastAsia="Times New Roman" w:hAnsi="Times New Roman" w:cs="Times New Roman"/>
          <w:sz w:val="18"/>
          <w:szCs w:val="24"/>
        </w:rPr>
        <w:t>In regard to your adult recall patients, how often do you p</w:t>
      </w:r>
      <w:r w:rsidR="001028DF">
        <w:rPr>
          <w:rFonts w:ascii="Times New Roman" w:eastAsia="Times New Roman" w:hAnsi="Times New Roman" w:cs="Times New Roman"/>
          <w:sz w:val="18"/>
          <w:szCs w:val="24"/>
        </w:rPr>
        <w:t>erform the following procedures?</w:t>
      </w:r>
    </w:p>
    <w:p w:rsidR="005D224A" w:rsidRDefault="00AC3A01" w:rsidP="005D224A">
      <w:pPr>
        <w:spacing w:line="480" w:lineRule="auto"/>
        <w:contextualSpacing/>
        <w:rPr>
          <w:rFonts w:ascii="Times New Roman" w:eastAsia="Times New Roman" w:hAnsi="Times New Roman" w:cs="Times New Roman"/>
          <w:b/>
          <w:sz w:val="18"/>
          <w:szCs w:val="24"/>
        </w:rPr>
      </w:pPr>
      <w:r>
        <w:rPr>
          <w:noProof/>
        </w:rPr>
        <w:drawing>
          <wp:inline distT="0" distB="0" distL="0" distR="0" wp14:anchorId="789EB84E" wp14:editId="7C118DA1">
            <wp:extent cx="5600700" cy="33337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4CF1" w:rsidRDefault="000D4CF1" w:rsidP="005D224A">
      <w:pPr>
        <w:spacing w:line="480" w:lineRule="auto"/>
        <w:contextualSpacing/>
        <w:rPr>
          <w:rFonts w:ascii="Times New Roman" w:eastAsia="Times New Roman" w:hAnsi="Times New Roman" w:cs="Times New Roman"/>
          <w:b/>
          <w:sz w:val="18"/>
          <w:szCs w:val="24"/>
        </w:rPr>
      </w:pPr>
    </w:p>
    <w:p w:rsidR="000D4CF1" w:rsidRDefault="000D4CF1" w:rsidP="005D224A">
      <w:pPr>
        <w:spacing w:line="480" w:lineRule="auto"/>
        <w:contextualSpacing/>
        <w:rPr>
          <w:rFonts w:ascii="Times New Roman" w:eastAsia="Times New Roman" w:hAnsi="Times New Roman" w:cs="Times New Roman"/>
          <w:b/>
          <w:sz w:val="18"/>
          <w:szCs w:val="24"/>
        </w:rPr>
      </w:pPr>
    </w:p>
    <w:p w:rsidR="000D4CF1" w:rsidRDefault="000D4CF1" w:rsidP="005D224A">
      <w:pPr>
        <w:spacing w:line="480" w:lineRule="auto"/>
        <w:contextualSpacing/>
        <w:rPr>
          <w:rFonts w:ascii="Times New Roman" w:eastAsia="Times New Roman" w:hAnsi="Times New Roman" w:cs="Times New Roman"/>
          <w:b/>
          <w:sz w:val="18"/>
          <w:szCs w:val="24"/>
        </w:rPr>
      </w:pPr>
    </w:p>
    <w:p w:rsidR="000D4CF1" w:rsidRDefault="000D4CF1" w:rsidP="00E46218">
      <w:pPr>
        <w:spacing w:line="480" w:lineRule="auto"/>
        <w:contextualSpacing/>
        <w:rPr>
          <w:rFonts w:ascii="Times New Roman" w:eastAsia="Times New Roman" w:hAnsi="Times New Roman" w:cs="Times New Roman"/>
          <w:b/>
          <w:sz w:val="18"/>
          <w:szCs w:val="24"/>
        </w:rPr>
      </w:pPr>
    </w:p>
    <w:p w:rsidR="005D224A" w:rsidRDefault="00081444" w:rsidP="00E46218">
      <w:pPr>
        <w:spacing w:line="480" w:lineRule="auto"/>
        <w:contextualSpacing/>
        <w:rPr>
          <w:rFonts w:ascii="Times New Roman" w:eastAsia="Times New Roman" w:hAnsi="Times New Roman" w:cs="Times New Roman"/>
          <w:b/>
          <w:sz w:val="18"/>
          <w:szCs w:val="24"/>
        </w:rPr>
      </w:pPr>
      <w:r>
        <w:rPr>
          <w:rFonts w:ascii="Times New Roman" w:eastAsia="Times New Roman" w:hAnsi="Times New Roman" w:cs="Times New Roman"/>
          <w:b/>
          <w:sz w:val="18"/>
          <w:szCs w:val="24"/>
        </w:rPr>
        <w:t xml:space="preserve">Table </w:t>
      </w:r>
      <w:r w:rsidR="00AC3A01">
        <w:rPr>
          <w:rFonts w:ascii="Times New Roman" w:eastAsia="Times New Roman" w:hAnsi="Times New Roman" w:cs="Times New Roman"/>
          <w:b/>
          <w:sz w:val="18"/>
          <w:szCs w:val="24"/>
        </w:rPr>
        <w:t>2</w:t>
      </w:r>
    </w:p>
    <w:p w:rsidR="00081444" w:rsidRPr="000F1E24" w:rsidRDefault="00081444" w:rsidP="00E46218">
      <w:pPr>
        <w:spacing w:line="480" w:lineRule="auto"/>
        <w:contextualSpacing/>
        <w:rPr>
          <w:rFonts w:ascii="Times New Roman" w:eastAsia="Times New Roman" w:hAnsi="Times New Roman" w:cs="Times New Roman"/>
          <w:b/>
          <w:sz w:val="18"/>
          <w:szCs w:val="24"/>
        </w:rPr>
      </w:pPr>
      <w:r>
        <w:rPr>
          <w:rFonts w:ascii="Times New Roman" w:eastAsia="Times New Roman" w:hAnsi="Times New Roman" w:cs="Times New Roman"/>
          <w:b/>
          <w:sz w:val="18"/>
          <w:szCs w:val="24"/>
        </w:rPr>
        <w:t>Frequency table of assessment of patient-associated risk factors</w:t>
      </w:r>
    </w:p>
    <w:p w:rsidR="005D224A" w:rsidRPr="00081444" w:rsidRDefault="00712521" w:rsidP="00E46218">
      <w:pPr>
        <w:spacing w:line="480" w:lineRule="auto"/>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Survey Question:  </w:t>
      </w:r>
      <w:r w:rsidR="005D224A" w:rsidRPr="00081444">
        <w:rPr>
          <w:rFonts w:ascii="Times New Roman" w:eastAsia="Times New Roman" w:hAnsi="Times New Roman" w:cs="Times New Roman"/>
          <w:sz w:val="18"/>
          <w:szCs w:val="24"/>
        </w:rPr>
        <w:t>In regard to patient-associated risk factors of periodontal disease, how frequently do you as</w:t>
      </w:r>
      <w:r w:rsidR="001028DF">
        <w:rPr>
          <w:rFonts w:ascii="Times New Roman" w:eastAsia="Times New Roman" w:hAnsi="Times New Roman" w:cs="Times New Roman"/>
          <w:sz w:val="18"/>
          <w:szCs w:val="24"/>
        </w:rPr>
        <w:t>sess the following risk factors?</w:t>
      </w:r>
    </w:p>
    <w:tbl>
      <w:tblPr>
        <w:tblStyle w:val="TableGrid"/>
        <w:tblW w:w="442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47"/>
        <w:gridCol w:w="1478"/>
        <w:gridCol w:w="1596"/>
      </w:tblGrid>
      <w:tr w:rsidR="008120F2" w:rsidRPr="00DD3FCC" w:rsidTr="00C45610">
        <w:trPr>
          <w:trHeight w:val="403"/>
        </w:trPr>
        <w:tc>
          <w:tcPr>
            <w:tcW w:w="1347" w:type="dxa"/>
            <w:tcBorders>
              <w:top w:val="single" w:sz="12" w:space="0" w:color="auto"/>
              <w:bottom w:val="double" w:sz="4" w:space="0" w:color="auto"/>
              <w:right w:val="single" w:sz="12" w:space="0" w:color="auto"/>
            </w:tcBorders>
          </w:tcPr>
          <w:p w:rsidR="008120F2" w:rsidRPr="00DD3FCC" w:rsidRDefault="008120F2" w:rsidP="00DD3FCC">
            <w:pPr>
              <w:contextualSpacing/>
              <w:rPr>
                <w:rFonts w:ascii="Times New Roman" w:eastAsia="Times New Roman" w:hAnsi="Times New Roman" w:cs="Times New Roman"/>
                <w:sz w:val="18"/>
                <w:szCs w:val="24"/>
              </w:rPr>
            </w:pPr>
            <w:r w:rsidRPr="00DD3FCC">
              <w:rPr>
                <w:rFonts w:ascii="Times New Roman" w:eastAsia="Times New Roman" w:hAnsi="Times New Roman" w:cs="Times New Roman"/>
                <w:sz w:val="18"/>
                <w:szCs w:val="24"/>
              </w:rPr>
              <w:t>Answer Options</w:t>
            </w:r>
          </w:p>
        </w:tc>
        <w:tc>
          <w:tcPr>
            <w:tcW w:w="1478" w:type="dxa"/>
            <w:tcBorders>
              <w:top w:val="single" w:sz="12" w:space="0" w:color="auto"/>
              <w:left w:val="single" w:sz="12" w:space="0" w:color="auto"/>
              <w:bottom w:val="double" w:sz="4" w:space="0" w:color="auto"/>
              <w:right w:val="single" w:sz="12" w:space="0" w:color="auto"/>
            </w:tcBorders>
          </w:tcPr>
          <w:p w:rsidR="008120F2" w:rsidRDefault="008120F2" w:rsidP="00DD3FCC">
            <w:pPr>
              <w:contextualSpacing/>
              <w:rPr>
                <w:rFonts w:ascii="Times New Roman" w:eastAsia="Times New Roman" w:hAnsi="Times New Roman" w:cs="Times New Roman"/>
                <w:sz w:val="18"/>
                <w:szCs w:val="24"/>
              </w:rPr>
            </w:pPr>
            <w:r w:rsidRPr="00DD3FCC">
              <w:rPr>
                <w:rFonts w:ascii="Times New Roman" w:eastAsia="Times New Roman" w:hAnsi="Times New Roman" w:cs="Times New Roman"/>
                <w:sz w:val="18"/>
                <w:szCs w:val="24"/>
              </w:rPr>
              <w:t>Never</w:t>
            </w:r>
            <w:r>
              <w:rPr>
                <w:rFonts w:ascii="Times New Roman" w:eastAsia="Times New Roman" w:hAnsi="Times New Roman" w:cs="Times New Roman"/>
                <w:sz w:val="18"/>
                <w:szCs w:val="24"/>
              </w:rPr>
              <w:t>/Rarely/</w:t>
            </w:r>
          </w:p>
          <w:p w:rsidR="008120F2" w:rsidRPr="00DD3FCC" w:rsidRDefault="008120F2" w:rsidP="00DD3FCC">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Occasionally</w:t>
            </w:r>
          </w:p>
        </w:tc>
        <w:tc>
          <w:tcPr>
            <w:tcW w:w="1596" w:type="dxa"/>
            <w:tcBorders>
              <w:top w:val="single" w:sz="12" w:space="0" w:color="auto"/>
              <w:left w:val="single" w:sz="12" w:space="0" w:color="auto"/>
              <w:bottom w:val="double" w:sz="4" w:space="0" w:color="auto"/>
            </w:tcBorders>
          </w:tcPr>
          <w:p w:rsidR="008120F2" w:rsidRPr="00DD3FCC" w:rsidRDefault="008120F2" w:rsidP="009664EA">
            <w:pPr>
              <w:contextualSpacing/>
              <w:rPr>
                <w:rFonts w:ascii="Times New Roman" w:eastAsia="Times New Roman" w:hAnsi="Times New Roman" w:cs="Times New Roman"/>
                <w:sz w:val="18"/>
                <w:szCs w:val="24"/>
              </w:rPr>
            </w:pPr>
            <w:r w:rsidRPr="00DD3FCC">
              <w:rPr>
                <w:rFonts w:ascii="Times New Roman" w:eastAsia="Times New Roman" w:hAnsi="Times New Roman" w:cs="Times New Roman"/>
                <w:sz w:val="18"/>
                <w:szCs w:val="24"/>
              </w:rPr>
              <w:t>Frequently</w:t>
            </w:r>
            <w:r>
              <w:rPr>
                <w:rFonts w:ascii="Times New Roman" w:eastAsia="Times New Roman" w:hAnsi="Times New Roman" w:cs="Times New Roman"/>
                <w:sz w:val="18"/>
                <w:szCs w:val="24"/>
              </w:rPr>
              <w:t>/Always</w:t>
            </w:r>
          </w:p>
        </w:tc>
      </w:tr>
      <w:tr w:rsidR="008120F2" w:rsidRPr="00DD3FCC" w:rsidTr="00C45610">
        <w:trPr>
          <w:trHeight w:val="208"/>
        </w:trPr>
        <w:tc>
          <w:tcPr>
            <w:tcW w:w="1347" w:type="dxa"/>
            <w:tcBorders>
              <w:top w:val="double" w:sz="4" w:space="0" w:color="auto"/>
              <w:bottom w:val="single" w:sz="12" w:space="0" w:color="auto"/>
              <w:right w:val="single" w:sz="12" w:space="0" w:color="auto"/>
            </w:tcBorders>
          </w:tcPr>
          <w:p w:rsidR="008120F2" w:rsidRPr="00DD3FCC" w:rsidRDefault="008120F2" w:rsidP="00DD3FCC">
            <w:pPr>
              <w:contextualSpacing/>
              <w:rPr>
                <w:rFonts w:ascii="Times New Roman" w:eastAsia="Times New Roman" w:hAnsi="Times New Roman" w:cs="Times New Roman"/>
                <w:sz w:val="18"/>
                <w:szCs w:val="24"/>
              </w:rPr>
            </w:pPr>
            <w:r w:rsidRPr="00DD3FCC">
              <w:rPr>
                <w:rFonts w:ascii="Times New Roman" w:eastAsia="Times New Roman" w:hAnsi="Times New Roman" w:cs="Times New Roman"/>
                <w:sz w:val="18"/>
                <w:szCs w:val="24"/>
              </w:rPr>
              <w:t>Patient’s Age</w:t>
            </w:r>
          </w:p>
        </w:tc>
        <w:tc>
          <w:tcPr>
            <w:tcW w:w="1478" w:type="dxa"/>
            <w:tcBorders>
              <w:top w:val="double" w:sz="4" w:space="0" w:color="auto"/>
              <w:left w:val="single" w:sz="12" w:space="0" w:color="auto"/>
              <w:bottom w:val="single" w:sz="12" w:space="0" w:color="auto"/>
              <w:right w:val="single" w:sz="12" w:space="0" w:color="auto"/>
            </w:tcBorders>
          </w:tcPr>
          <w:p w:rsidR="008120F2" w:rsidRPr="00DD3FCC" w:rsidRDefault="008120F2" w:rsidP="00DD3FCC">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25.9%</w:t>
            </w:r>
          </w:p>
        </w:tc>
        <w:tc>
          <w:tcPr>
            <w:tcW w:w="1596" w:type="dxa"/>
            <w:tcBorders>
              <w:top w:val="double" w:sz="4" w:space="0" w:color="auto"/>
              <w:left w:val="single" w:sz="12" w:space="0" w:color="auto"/>
              <w:bottom w:val="single" w:sz="12" w:space="0" w:color="auto"/>
            </w:tcBorders>
          </w:tcPr>
          <w:p w:rsidR="008120F2" w:rsidRPr="00DD3FCC" w:rsidRDefault="008120F2" w:rsidP="009664EA">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74.1%</w:t>
            </w:r>
          </w:p>
        </w:tc>
      </w:tr>
      <w:tr w:rsidR="008120F2" w:rsidRPr="00DD3FCC" w:rsidTr="00C45610">
        <w:trPr>
          <w:trHeight w:val="418"/>
        </w:trPr>
        <w:tc>
          <w:tcPr>
            <w:tcW w:w="1347" w:type="dxa"/>
            <w:tcBorders>
              <w:top w:val="single" w:sz="12" w:space="0" w:color="auto"/>
              <w:bottom w:val="single" w:sz="12" w:space="0" w:color="auto"/>
              <w:right w:val="single" w:sz="12" w:space="0" w:color="auto"/>
            </w:tcBorders>
          </w:tcPr>
          <w:p w:rsidR="008120F2" w:rsidRPr="00DD3FCC" w:rsidRDefault="008120F2" w:rsidP="00DD3FCC">
            <w:pPr>
              <w:contextualSpacing/>
              <w:rPr>
                <w:rFonts w:ascii="Times New Roman" w:eastAsia="Times New Roman" w:hAnsi="Times New Roman" w:cs="Times New Roman"/>
                <w:sz w:val="18"/>
                <w:szCs w:val="24"/>
              </w:rPr>
            </w:pPr>
            <w:r w:rsidRPr="00DD3FCC">
              <w:rPr>
                <w:rFonts w:ascii="Times New Roman" w:eastAsia="Times New Roman" w:hAnsi="Times New Roman" w:cs="Times New Roman"/>
                <w:sz w:val="18"/>
                <w:szCs w:val="24"/>
              </w:rPr>
              <w:t>Patient’s smoking habits</w:t>
            </w:r>
          </w:p>
        </w:tc>
        <w:tc>
          <w:tcPr>
            <w:tcW w:w="1478" w:type="dxa"/>
            <w:tcBorders>
              <w:top w:val="single" w:sz="12" w:space="0" w:color="auto"/>
              <w:left w:val="single" w:sz="12" w:space="0" w:color="auto"/>
              <w:bottom w:val="single" w:sz="12" w:space="0" w:color="auto"/>
              <w:right w:val="single" w:sz="12" w:space="0" w:color="auto"/>
            </w:tcBorders>
          </w:tcPr>
          <w:p w:rsidR="008120F2" w:rsidRPr="00DD3FCC" w:rsidRDefault="008120F2" w:rsidP="00DD3FCC">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11.1%</w:t>
            </w:r>
          </w:p>
        </w:tc>
        <w:tc>
          <w:tcPr>
            <w:tcW w:w="1596" w:type="dxa"/>
            <w:tcBorders>
              <w:top w:val="single" w:sz="12" w:space="0" w:color="auto"/>
              <w:left w:val="single" w:sz="12" w:space="0" w:color="auto"/>
              <w:bottom w:val="single" w:sz="12" w:space="0" w:color="auto"/>
            </w:tcBorders>
          </w:tcPr>
          <w:p w:rsidR="008120F2" w:rsidRPr="00DD3FCC" w:rsidRDefault="008120F2" w:rsidP="009664EA">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88.9%</w:t>
            </w:r>
          </w:p>
        </w:tc>
      </w:tr>
      <w:tr w:rsidR="008120F2" w:rsidRPr="00DD3FCC" w:rsidTr="00C45610">
        <w:trPr>
          <w:trHeight w:val="1237"/>
        </w:trPr>
        <w:tc>
          <w:tcPr>
            <w:tcW w:w="1347" w:type="dxa"/>
            <w:tcBorders>
              <w:top w:val="single" w:sz="12" w:space="0" w:color="auto"/>
              <w:bottom w:val="single" w:sz="12" w:space="0" w:color="auto"/>
              <w:right w:val="single" w:sz="12" w:space="0" w:color="auto"/>
            </w:tcBorders>
          </w:tcPr>
          <w:p w:rsidR="008120F2" w:rsidRPr="00DD3FCC" w:rsidRDefault="008120F2" w:rsidP="00DD3FCC">
            <w:pPr>
              <w:contextualSpacing/>
              <w:rPr>
                <w:rFonts w:ascii="Times New Roman" w:eastAsia="Times New Roman" w:hAnsi="Times New Roman" w:cs="Times New Roman"/>
                <w:sz w:val="18"/>
                <w:szCs w:val="24"/>
              </w:rPr>
            </w:pPr>
            <w:r w:rsidRPr="00DD3FCC">
              <w:rPr>
                <w:rFonts w:ascii="Times New Roman" w:eastAsia="Times New Roman" w:hAnsi="Times New Roman" w:cs="Times New Roman"/>
                <w:sz w:val="18"/>
                <w:szCs w:val="24"/>
              </w:rPr>
              <w:t>Other chronic systemic conditions associated with periodontal disease</w:t>
            </w:r>
          </w:p>
        </w:tc>
        <w:tc>
          <w:tcPr>
            <w:tcW w:w="1478" w:type="dxa"/>
            <w:tcBorders>
              <w:top w:val="single" w:sz="12" w:space="0" w:color="auto"/>
              <w:left w:val="single" w:sz="12" w:space="0" w:color="auto"/>
              <w:bottom w:val="single" w:sz="12" w:space="0" w:color="auto"/>
              <w:right w:val="single" w:sz="12" w:space="0" w:color="auto"/>
            </w:tcBorders>
          </w:tcPr>
          <w:p w:rsidR="008120F2" w:rsidRPr="00DD3FCC" w:rsidRDefault="008120F2" w:rsidP="00DD3FCC">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14.8%</w:t>
            </w:r>
          </w:p>
        </w:tc>
        <w:tc>
          <w:tcPr>
            <w:tcW w:w="1596" w:type="dxa"/>
            <w:tcBorders>
              <w:top w:val="single" w:sz="12" w:space="0" w:color="auto"/>
              <w:left w:val="single" w:sz="12" w:space="0" w:color="auto"/>
            </w:tcBorders>
          </w:tcPr>
          <w:p w:rsidR="008120F2" w:rsidRPr="00DD3FCC" w:rsidRDefault="008120F2" w:rsidP="009664EA">
            <w:pPr>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85.2%</w:t>
            </w:r>
          </w:p>
        </w:tc>
      </w:tr>
    </w:tbl>
    <w:p w:rsidR="005D224A" w:rsidRDefault="005D224A" w:rsidP="00934321">
      <w:pPr>
        <w:spacing w:line="480" w:lineRule="auto"/>
        <w:contextualSpacing/>
        <w:rPr>
          <w:rFonts w:ascii="Times New Roman" w:eastAsia="Times New Roman" w:hAnsi="Times New Roman" w:cs="Times New Roman"/>
          <w:b/>
          <w:sz w:val="18"/>
          <w:szCs w:val="24"/>
        </w:rPr>
      </w:pPr>
    </w:p>
    <w:p w:rsidR="001F789A" w:rsidRDefault="001F789A" w:rsidP="00934321">
      <w:pPr>
        <w:spacing w:line="480" w:lineRule="auto"/>
        <w:contextualSpacing/>
        <w:rPr>
          <w:rFonts w:ascii="Times New Roman" w:eastAsia="Times New Roman" w:hAnsi="Times New Roman" w:cs="Times New Roman"/>
          <w:b/>
          <w:sz w:val="18"/>
          <w:szCs w:val="24"/>
        </w:rPr>
      </w:pPr>
    </w:p>
    <w:p w:rsidR="00DD3FCC" w:rsidRDefault="00AE7B36" w:rsidP="00E46218">
      <w:pPr>
        <w:spacing w:line="480" w:lineRule="auto"/>
        <w:contextualSpacing/>
        <w:rPr>
          <w:rFonts w:ascii="Times New Roman" w:eastAsia="Times New Roman" w:hAnsi="Times New Roman" w:cs="Times New Roman"/>
          <w:b/>
          <w:sz w:val="18"/>
          <w:szCs w:val="24"/>
        </w:rPr>
      </w:pPr>
      <w:r>
        <w:rPr>
          <w:rFonts w:ascii="Times New Roman" w:eastAsia="Times New Roman" w:hAnsi="Times New Roman" w:cs="Times New Roman"/>
          <w:b/>
          <w:sz w:val="18"/>
          <w:szCs w:val="24"/>
        </w:rPr>
        <w:t>Graph 2</w:t>
      </w:r>
    </w:p>
    <w:p w:rsidR="00DD3FCC" w:rsidRDefault="00DD3FCC" w:rsidP="00E46218">
      <w:pPr>
        <w:spacing w:line="480" w:lineRule="auto"/>
        <w:contextualSpacing/>
        <w:rPr>
          <w:rFonts w:ascii="Times New Roman" w:eastAsia="Times New Roman" w:hAnsi="Times New Roman" w:cs="Times New Roman"/>
          <w:b/>
          <w:sz w:val="18"/>
          <w:szCs w:val="24"/>
        </w:rPr>
      </w:pPr>
      <w:r>
        <w:rPr>
          <w:rFonts w:ascii="Times New Roman" w:eastAsia="Times New Roman" w:hAnsi="Times New Roman" w:cs="Times New Roman"/>
          <w:b/>
          <w:sz w:val="18"/>
          <w:szCs w:val="24"/>
        </w:rPr>
        <w:t>Frequency table of participant responses regarding AAP assessment parameters</w:t>
      </w:r>
    </w:p>
    <w:p w:rsidR="001F789A" w:rsidRDefault="00F74785" w:rsidP="00934321">
      <w:pPr>
        <w:spacing w:line="480" w:lineRule="auto"/>
        <w:contextualSpacing/>
        <w:rPr>
          <w:rFonts w:ascii="Times New Roman" w:eastAsia="Times New Roman" w:hAnsi="Times New Roman" w:cs="Times New Roman"/>
          <w:b/>
          <w:sz w:val="18"/>
          <w:szCs w:val="24"/>
        </w:rPr>
      </w:pPr>
      <w:r>
        <w:rPr>
          <w:noProof/>
        </w:rPr>
        <w:drawing>
          <wp:inline distT="0" distB="0" distL="0" distR="0" wp14:anchorId="48735F16" wp14:editId="0D13A3BD">
            <wp:extent cx="5724525" cy="3262312"/>
            <wp:effectExtent l="0" t="0" r="9525"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789A" w:rsidRDefault="001F789A" w:rsidP="00934321">
      <w:pPr>
        <w:spacing w:line="480" w:lineRule="auto"/>
        <w:contextualSpacing/>
        <w:rPr>
          <w:rFonts w:ascii="Times New Roman" w:eastAsia="Times New Roman" w:hAnsi="Times New Roman" w:cs="Times New Roman"/>
          <w:b/>
          <w:sz w:val="18"/>
          <w:szCs w:val="24"/>
        </w:rPr>
      </w:pPr>
    </w:p>
    <w:p w:rsidR="00DD3FCC" w:rsidRDefault="00DD3FCC" w:rsidP="00934321">
      <w:pPr>
        <w:spacing w:line="480" w:lineRule="auto"/>
        <w:contextualSpacing/>
        <w:rPr>
          <w:rFonts w:ascii="Times New Roman" w:eastAsia="Times New Roman" w:hAnsi="Times New Roman" w:cs="Times New Roman"/>
          <w:b/>
          <w:sz w:val="18"/>
          <w:szCs w:val="24"/>
        </w:rPr>
      </w:pPr>
    </w:p>
    <w:p w:rsidR="00DD3FCC" w:rsidRDefault="00DD3FCC" w:rsidP="00934321">
      <w:pPr>
        <w:spacing w:line="480" w:lineRule="auto"/>
        <w:contextualSpacing/>
        <w:rPr>
          <w:rFonts w:ascii="Times New Roman" w:eastAsia="Times New Roman" w:hAnsi="Times New Roman" w:cs="Times New Roman"/>
          <w:b/>
          <w:sz w:val="18"/>
          <w:szCs w:val="24"/>
        </w:rPr>
      </w:pPr>
    </w:p>
    <w:p w:rsidR="00DD3FCC" w:rsidRDefault="00DD3FCC" w:rsidP="00934321">
      <w:pPr>
        <w:spacing w:line="480" w:lineRule="auto"/>
        <w:contextualSpacing/>
        <w:rPr>
          <w:rFonts w:ascii="Times New Roman" w:eastAsia="Times New Roman" w:hAnsi="Times New Roman" w:cs="Times New Roman"/>
          <w:b/>
          <w:sz w:val="18"/>
          <w:szCs w:val="24"/>
        </w:rPr>
      </w:pPr>
    </w:p>
    <w:p w:rsidR="00DD3FCC" w:rsidRDefault="00DD3FCC" w:rsidP="00934321">
      <w:pPr>
        <w:spacing w:line="480" w:lineRule="auto"/>
        <w:contextualSpacing/>
        <w:rPr>
          <w:rFonts w:ascii="Times New Roman" w:eastAsia="Times New Roman" w:hAnsi="Times New Roman" w:cs="Times New Roman"/>
          <w:b/>
          <w:sz w:val="18"/>
          <w:szCs w:val="24"/>
        </w:rPr>
      </w:pPr>
    </w:p>
    <w:p w:rsidR="001F789A" w:rsidRDefault="001F789A" w:rsidP="00934321">
      <w:pPr>
        <w:spacing w:line="480" w:lineRule="auto"/>
        <w:contextualSpacing/>
        <w:rPr>
          <w:rFonts w:ascii="Times New Roman" w:eastAsia="Times New Roman" w:hAnsi="Times New Roman" w:cs="Times New Roman"/>
          <w:b/>
          <w:sz w:val="18"/>
          <w:szCs w:val="24"/>
        </w:rPr>
      </w:pPr>
    </w:p>
    <w:p w:rsidR="001F789A" w:rsidRDefault="001F789A" w:rsidP="00934321">
      <w:pPr>
        <w:spacing w:line="480" w:lineRule="auto"/>
        <w:contextualSpacing/>
        <w:rPr>
          <w:rFonts w:ascii="Times New Roman" w:eastAsia="Times New Roman" w:hAnsi="Times New Roman" w:cs="Times New Roman"/>
          <w:b/>
          <w:sz w:val="18"/>
          <w:szCs w:val="24"/>
        </w:rPr>
      </w:pPr>
    </w:p>
    <w:p w:rsidR="001F789A" w:rsidRDefault="001F789A" w:rsidP="00934321">
      <w:pPr>
        <w:spacing w:line="480" w:lineRule="auto"/>
        <w:contextualSpacing/>
        <w:rPr>
          <w:rFonts w:ascii="Times New Roman" w:eastAsia="Times New Roman" w:hAnsi="Times New Roman" w:cs="Times New Roman"/>
          <w:b/>
          <w:sz w:val="18"/>
          <w:szCs w:val="24"/>
        </w:rPr>
      </w:pPr>
    </w:p>
    <w:p w:rsidR="001F789A" w:rsidRDefault="001F789A" w:rsidP="00934321">
      <w:pPr>
        <w:spacing w:line="480" w:lineRule="auto"/>
        <w:contextualSpacing/>
        <w:rPr>
          <w:rFonts w:ascii="Times New Roman" w:eastAsia="Times New Roman" w:hAnsi="Times New Roman" w:cs="Times New Roman"/>
          <w:b/>
          <w:sz w:val="18"/>
          <w:szCs w:val="24"/>
        </w:rPr>
      </w:pPr>
    </w:p>
    <w:p w:rsidR="001F789A" w:rsidRDefault="001F789A" w:rsidP="00934321">
      <w:pPr>
        <w:spacing w:line="48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AE7B36" w:rsidRDefault="00AE7B36" w:rsidP="00081444">
      <w:pPr>
        <w:spacing w:line="240" w:lineRule="auto"/>
        <w:contextualSpacing/>
        <w:rPr>
          <w:rFonts w:ascii="Times New Roman" w:eastAsia="Times New Roman" w:hAnsi="Times New Roman" w:cs="Times New Roman"/>
          <w:b/>
          <w:sz w:val="18"/>
          <w:szCs w:val="24"/>
        </w:rPr>
      </w:pPr>
    </w:p>
    <w:p w:rsidR="00BD5C9F" w:rsidRPr="00500750" w:rsidRDefault="00AE7B36" w:rsidP="00E46218">
      <w:pPr>
        <w:spacing w:line="480" w:lineRule="auto"/>
        <w:contextualSpacing/>
        <w:rPr>
          <w:rFonts w:ascii="Times New Roman" w:eastAsia="Times New Roman" w:hAnsi="Times New Roman" w:cs="Times New Roman"/>
          <w:b/>
          <w:sz w:val="18"/>
          <w:szCs w:val="24"/>
        </w:rPr>
      </w:pPr>
      <w:r>
        <w:rPr>
          <w:rFonts w:ascii="Times New Roman" w:eastAsia="Times New Roman" w:hAnsi="Times New Roman" w:cs="Times New Roman"/>
          <w:b/>
          <w:sz w:val="18"/>
          <w:szCs w:val="24"/>
        </w:rPr>
        <w:t>Table 3</w:t>
      </w:r>
    </w:p>
    <w:p w:rsidR="00500750" w:rsidRPr="00500750" w:rsidRDefault="00C85E67" w:rsidP="00E46218">
      <w:pPr>
        <w:spacing w:line="480" w:lineRule="auto"/>
        <w:contextualSpacing/>
        <w:rPr>
          <w:rFonts w:ascii="Times New Roman" w:eastAsia="Times New Roman" w:hAnsi="Times New Roman" w:cs="Times New Roman"/>
          <w:b/>
          <w:sz w:val="18"/>
          <w:szCs w:val="24"/>
        </w:rPr>
      </w:pPr>
      <w:r>
        <w:rPr>
          <w:rFonts w:ascii="Times New Roman" w:eastAsia="Times New Roman" w:hAnsi="Times New Roman" w:cs="Times New Roman"/>
          <w:b/>
          <w:sz w:val="18"/>
          <w:szCs w:val="24"/>
        </w:rPr>
        <w:t>Relationships</w:t>
      </w:r>
      <w:r w:rsidR="00500750" w:rsidRPr="00500750">
        <w:rPr>
          <w:rFonts w:ascii="Times New Roman" w:eastAsia="Times New Roman" w:hAnsi="Times New Roman" w:cs="Times New Roman"/>
          <w:b/>
          <w:sz w:val="18"/>
          <w:szCs w:val="24"/>
        </w:rPr>
        <w:t xml:space="preserve"> between demographics and periodontal assessment procedures performed</w:t>
      </w:r>
    </w:p>
    <w:tbl>
      <w:tblPr>
        <w:tblW w:w="11322" w:type="dxa"/>
        <w:tblInd w:w="93" w:type="dxa"/>
        <w:tblLayout w:type="fixed"/>
        <w:tblLook w:val="04A0" w:firstRow="1" w:lastRow="0" w:firstColumn="1" w:lastColumn="0" w:noHBand="0" w:noVBand="1"/>
      </w:tblPr>
      <w:tblGrid>
        <w:gridCol w:w="1116"/>
        <w:gridCol w:w="969"/>
        <w:gridCol w:w="1260"/>
        <w:gridCol w:w="1170"/>
        <w:gridCol w:w="990"/>
        <w:gridCol w:w="1170"/>
        <w:gridCol w:w="1170"/>
        <w:gridCol w:w="1321"/>
        <w:gridCol w:w="236"/>
        <w:gridCol w:w="960"/>
        <w:gridCol w:w="960"/>
      </w:tblGrid>
      <w:tr w:rsidR="00DC2951" w:rsidRPr="008240FD" w:rsidTr="00D43EC3">
        <w:trPr>
          <w:trHeight w:val="1455"/>
        </w:trPr>
        <w:tc>
          <w:tcPr>
            <w:tcW w:w="2085" w:type="dxa"/>
            <w:gridSpan w:val="2"/>
            <w:tcBorders>
              <w:top w:val="single" w:sz="12" w:space="0" w:color="000000"/>
              <w:left w:val="single" w:sz="12" w:space="0" w:color="000000"/>
              <w:bottom w:val="double" w:sz="4" w:space="0" w:color="auto"/>
              <w:right w:val="single" w:sz="12" w:space="0" w:color="000000"/>
            </w:tcBorders>
            <w:shd w:val="clear" w:color="auto" w:fill="auto"/>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 </w:t>
            </w:r>
          </w:p>
        </w:tc>
        <w:tc>
          <w:tcPr>
            <w:tcW w:w="1260" w:type="dxa"/>
            <w:tcBorders>
              <w:top w:val="single" w:sz="12" w:space="0" w:color="000000"/>
              <w:left w:val="single" w:sz="4" w:space="0" w:color="000000"/>
              <w:bottom w:val="double" w:sz="4" w:space="0" w:color="auto"/>
              <w:right w:val="single" w:sz="4" w:space="0" w:color="auto"/>
            </w:tcBorders>
            <w:shd w:val="clear" w:color="auto" w:fill="auto"/>
            <w:vAlign w:val="bottom"/>
            <w:hideMark/>
          </w:tcPr>
          <w:p w:rsidR="00DC2951" w:rsidRPr="008240FD" w:rsidRDefault="00DC2951" w:rsidP="008240F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Perform </w:t>
            </w:r>
            <w:proofErr w:type="spellStart"/>
            <w:r>
              <w:rPr>
                <w:rFonts w:ascii="Times New Roman" w:eastAsia="Times New Roman" w:hAnsi="Times New Roman" w:cs="Times New Roman"/>
                <w:color w:val="000000"/>
                <w:sz w:val="16"/>
                <w:szCs w:val="16"/>
              </w:rPr>
              <w:t>perio</w:t>
            </w:r>
            <w:proofErr w:type="spellEnd"/>
            <w:r>
              <w:rPr>
                <w:rFonts w:ascii="Times New Roman" w:eastAsia="Times New Roman" w:hAnsi="Times New Roman" w:cs="Times New Roman"/>
                <w:color w:val="000000"/>
                <w:sz w:val="16"/>
                <w:szCs w:val="16"/>
              </w:rPr>
              <w:t xml:space="preserve"> </w:t>
            </w:r>
            <w:r w:rsidRPr="008240FD">
              <w:rPr>
                <w:rFonts w:ascii="Times New Roman" w:eastAsia="Times New Roman" w:hAnsi="Times New Roman" w:cs="Times New Roman"/>
                <w:color w:val="000000"/>
                <w:sz w:val="16"/>
                <w:szCs w:val="16"/>
              </w:rPr>
              <w:t>probing</w:t>
            </w:r>
          </w:p>
        </w:tc>
        <w:tc>
          <w:tcPr>
            <w:tcW w:w="1170" w:type="dxa"/>
            <w:tcBorders>
              <w:top w:val="single" w:sz="12" w:space="0" w:color="000000"/>
              <w:left w:val="nil"/>
              <w:bottom w:val="double" w:sz="4" w:space="0" w:color="auto"/>
              <w:right w:val="single" w:sz="4" w:space="0" w:color="000000"/>
            </w:tcBorders>
            <w:shd w:val="clear" w:color="auto" w:fill="auto"/>
            <w:vAlign w:val="bottom"/>
            <w:hideMark/>
          </w:tcPr>
          <w:p w:rsidR="00DC2951" w:rsidRPr="008240FD" w:rsidRDefault="00DC2951" w:rsidP="008240FD">
            <w:pPr>
              <w:spacing w:after="0" w:line="240" w:lineRule="auto"/>
              <w:jc w:val="center"/>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Evaluate and record clinical attachment loss</w:t>
            </w:r>
          </w:p>
        </w:tc>
        <w:tc>
          <w:tcPr>
            <w:tcW w:w="990" w:type="dxa"/>
            <w:tcBorders>
              <w:top w:val="single" w:sz="12" w:space="0" w:color="000000"/>
              <w:left w:val="nil"/>
              <w:bottom w:val="double" w:sz="4" w:space="0" w:color="auto"/>
              <w:right w:val="single" w:sz="4" w:space="0" w:color="000000"/>
            </w:tcBorders>
            <w:shd w:val="clear" w:color="auto" w:fill="auto"/>
            <w:vAlign w:val="bottom"/>
            <w:hideMark/>
          </w:tcPr>
          <w:p w:rsidR="00DC2951" w:rsidRPr="008240FD" w:rsidRDefault="00DC2951" w:rsidP="008240FD">
            <w:pPr>
              <w:spacing w:after="0" w:line="240" w:lineRule="auto"/>
              <w:jc w:val="center"/>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Eval</w:t>
            </w:r>
            <w:r>
              <w:rPr>
                <w:rFonts w:ascii="Times New Roman" w:eastAsia="Times New Roman" w:hAnsi="Times New Roman" w:cs="Times New Roman"/>
                <w:color w:val="000000"/>
                <w:sz w:val="16"/>
                <w:szCs w:val="16"/>
              </w:rPr>
              <w:t>uate</w:t>
            </w:r>
            <w:r w:rsidRPr="008240FD">
              <w:rPr>
                <w:rFonts w:ascii="Times New Roman" w:eastAsia="Times New Roman" w:hAnsi="Times New Roman" w:cs="Times New Roman"/>
                <w:color w:val="000000"/>
                <w:sz w:val="16"/>
                <w:szCs w:val="16"/>
              </w:rPr>
              <w:t xml:space="preserve"> recession</w:t>
            </w:r>
          </w:p>
        </w:tc>
        <w:tc>
          <w:tcPr>
            <w:tcW w:w="1170" w:type="dxa"/>
            <w:tcBorders>
              <w:top w:val="single" w:sz="12" w:space="0" w:color="000000"/>
              <w:left w:val="nil"/>
              <w:bottom w:val="double" w:sz="4" w:space="0" w:color="auto"/>
              <w:right w:val="single" w:sz="4" w:space="0" w:color="000000"/>
            </w:tcBorders>
            <w:shd w:val="clear" w:color="auto" w:fill="auto"/>
            <w:vAlign w:val="bottom"/>
            <w:hideMark/>
          </w:tcPr>
          <w:p w:rsidR="00DC2951" w:rsidRPr="008240FD" w:rsidRDefault="00DC2951" w:rsidP="008240FD">
            <w:pPr>
              <w:spacing w:after="0" w:line="240" w:lineRule="auto"/>
              <w:jc w:val="center"/>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 xml:space="preserve">Perform </w:t>
            </w:r>
            <w:proofErr w:type="spellStart"/>
            <w:r w:rsidRPr="008240FD">
              <w:rPr>
                <w:rFonts w:ascii="Times New Roman" w:eastAsia="Times New Roman" w:hAnsi="Times New Roman" w:cs="Times New Roman"/>
                <w:color w:val="000000"/>
                <w:sz w:val="16"/>
                <w:szCs w:val="16"/>
              </w:rPr>
              <w:t>extraoral</w:t>
            </w:r>
            <w:proofErr w:type="spellEnd"/>
            <w:r w:rsidRPr="008240FD">
              <w:rPr>
                <w:rFonts w:ascii="Times New Roman" w:eastAsia="Times New Roman" w:hAnsi="Times New Roman" w:cs="Times New Roman"/>
                <w:color w:val="000000"/>
                <w:sz w:val="16"/>
                <w:szCs w:val="16"/>
              </w:rPr>
              <w:t xml:space="preserve"> and intraoral </w:t>
            </w:r>
            <w:proofErr w:type="spellStart"/>
            <w:r w:rsidRPr="008240FD">
              <w:rPr>
                <w:rFonts w:ascii="Times New Roman" w:eastAsia="Times New Roman" w:hAnsi="Times New Roman" w:cs="Times New Roman"/>
                <w:color w:val="000000"/>
                <w:sz w:val="16"/>
                <w:szCs w:val="16"/>
              </w:rPr>
              <w:t>evualations</w:t>
            </w:r>
            <w:proofErr w:type="spellEnd"/>
          </w:p>
        </w:tc>
        <w:tc>
          <w:tcPr>
            <w:tcW w:w="1170" w:type="dxa"/>
            <w:tcBorders>
              <w:top w:val="single" w:sz="12" w:space="0" w:color="000000"/>
              <w:left w:val="nil"/>
              <w:bottom w:val="double" w:sz="4" w:space="0" w:color="auto"/>
              <w:right w:val="single" w:sz="4" w:space="0" w:color="000000"/>
            </w:tcBorders>
            <w:shd w:val="clear" w:color="auto" w:fill="auto"/>
            <w:vAlign w:val="bottom"/>
            <w:hideMark/>
          </w:tcPr>
          <w:p w:rsidR="00DC2951" w:rsidRPr="008240FD" w:rsidRDefault="00DC2951" w:rsidP="008240FD">
            <w:pPr>
              <w:spacing w:after="0" w:line="240" w:lineRule="auto"/>
              <w:jc w:val="center"/>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 xml:space="preserve">Perform a thorough </w:t>
            </w:r>
            <w:proofErr w:type="spellStart"/>
            <w:r w:rsidRPr="008240FD">
              <w:rPr>
                <w:rFonts w:ascii="Times New Roman" w:eastAsia="Times New Roman" w:hAnsi="Times New Roman" w:cs="Times New Roman"/>
                <w:color w:val="000000"/>
                <w:sz w:val="16"/>
                <w:szCs w:val="16"/>
              </w:rPr>
              <w:t>occlusal</w:t>
            </w:r>
            <w:proofErr w:type="spellEnd"/>
            <w:r w:rsidRPr="008240FD">
              <w:rPr>
                <w:rFonts w:ascii="Times New Roman" w:eastAsia="Times New Roman" w:hAnsi="Times New Roman" w:cs="Times New Roman"/>
                <w:color w:val="000000"/>
                <w:sz w:val="16"/>
                <w:szCs w:val="16"/>
              </w:rPr>
              <w:t xml:space="preserve"> evaluation</w:t>
            </w:r>
          </w:p>
        </w:tc>
        <w:tc>
          <w:tcPr>
            <w:tcW w:w="1321" w:type="dxa"/>
            <w:tcBorders>
              <w:top w:val="single" w:sz="12" w:space="0" w:color="000000"/>
              <w:left w:val="nil"/>
              <w:bottom w:val="double" w:sz="4" w:space="0" w:color="auto"/>
              <w:right w:val="single" w:sz="12" w:space="0" w:color="000000"/>
            </w:tcBorders>
            <w:shd w:val="clear" w:color="auto" w:fill="auto"/>
            <w:vAlign w:val="bottom"/>
            <w:hideMark/>
          </w:tcPr>
          <w:p w:rsidR="00DC2951" w:rsidRPr="008240FD" w:rsidRDefault="00DC2951" w:rsidP="008240FD">
            <w:pPr>
              <w:spacing w:after="0" w:line="240" w:lineRule="auto"/>
              <w:jc w:val="center"/>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Probe six sites per tooth</w:t>
            </w:r>
          </w:p>
        </w:tc>
        <w:tc>
          <w:tcPr>
            <w:tcW w:w="236" w:type="dxa"/>
            <w:tcBorders>
              <w:top w:val="nil"/>
              <w:left w:val="single" w:sz="12" w:space="0" w:color="000000"/>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r>
      <w:tr w:rsidR="00DC2951" w:rsidRPr="008240FD" w:rsidTr="00D43EC3">
        <w:trPr>
          <w:trHeight w:val="735"/>
        </w:trPr>
        <w:tc>
          <w:tcPr>
            <w:tcW w:w="1116" w:type="dxa"/>
            <w:vMerge w:val="restart"/>
            <w:tcBorders>
              <w:top w:val="double" w:sz="4" w:space="0" w:color="auto"/>
              <w:left w:val="single" w:sz="12" w:space="0" w:color="000000"/>
              <w:bottom w:val="single" w:sz="4" w:space="0" w:color="000000"/>
              <w:right w:val="nil"/>
            </w:tcBorders>
            <w:shd w:val="clear" w:color="auto" w:fill="auto"/>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 xml:space="preserve">What is your employment status in </w:t>
            </w:r>
            <w:proofErr w:type="gramStart"/>
            <w:r w:rsidRPr="008240FD">
              <w:rPr>
                <w:rFonts w:ascii="Times New Roman" w:eastAsia="Times New Roman" w:hAnsi="Times New Roman" w:cs="Times New Roman"/>
                <w:color w:val="000000"/>
                <w:sz w:val="16"/>
                <w:szCs w:val="16"/>
              </w:rPr>
              <w:t>your  primary</w:t>
            </w:r>
            <w:proofErr w:type="gramEnd"/>
            <w:r w:rsidRPr="008240FD">
              <w:rPr>
                <w:rFonts w:ascii="Times New Roman" w:eastAsia="Times New Roman" w:hAnsi="Times New Roman" w:cs="Times New Roman"/>
                <w:color w:val="000000"/>
                <w:sz w:val="16"/>
                <w:szCs w:val="16"/>
              </w:rPr>
              <w:t xml:space="preserve"> office?</w:t>
            </w:r>
          </w:p>
        </w:tc>
        <w:tc>
          <w:tcPr>
            <w:tcW w:w="969" w:type="dxa"/>
            <w:tcBorders>
              <w:top w:val="double" w:sz="4" w:space="0" w:color="auto"/>
              <w:left w:val="nil"/>
              <w:bottom w:val="nil"/>
              <w:right w:val="single" w:sz="12" w:space="0" w:color="000000"/>
            </w:tcBorders>
            <w:shd w:val="clear" w:color="auto" w:fill="auto"/>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Pearson Correlation</w:t>
            </w:r>
          </w:p>
        </w:tc>
        <w:tc>
          <w:tcPr>
            <w:tcW w:w="1260" w:type="dxa"/>
            <w:tcBorders>
              <w:top w:val="double" w:sz="4" w:space="0" w:color="auto"/>
              <w:left w:val="single" w:sz="4" w:space="0" w:color="000000"/>
              <w:bottom w:val="nil"/>
              <w:right w:val="single" w:sz="4" w:space="0" w:color="auto"/>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-.298</w:t>
            </w:r>
            <w:r w:rsidR="005F2FEF">
              <w:rPr>
                <w:rFonts w:ascii="Times New Roman" w:eastAsia="Times New Roman" w:hAnsi="Times New Roman" w:cs="Times New Roman"/>
                <w:color w:val="000000"/>
                <w:sz w:val="16"/>
                <w:szCs w:val="16"/>
                <w:vertAlign w:val="superscript"/>
              </w:rPr>
              <w:t>††</w:t>
            </w:r>
          </w:p>
        </w:tc>
        <w:tc>
          <w:tcPr>
            <w:tcW w:w="1170" w:type="dxa"/>
            <w:tcBorders>
              <w:top w:val="double" w:sz="4" w:space="0" w:color="auto"/>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-.124</w:t>
            </w:r>
          </w:p>
        </w:tc>
        <w:tc>
          <w:tcPr>
            <w:tcW w:w="990" w:type="dxa"/>
            <w:tcBorders>
              <w:top w:val="double" w:sz="4" w:space="0" w:color="auto"/>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-.032</w:t>
            </w:r>
          </w:p>
        </w:tc>
        <w:tc>
          <w:tcPr>
            <w:tcW w:w="1170" w:type="dxa"/>
            <w:tcBorders>
              <w:top w:val="double" w:sz="4" w:space="0" w:color="auto"/>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-.134</w:t>
            </w:r>
          </w:p>
        </w:tc>
        <w:tc>
          <w:tcPr>
            <w:tcW w:w="1170" w:type="dxa"/>
            <w:tcBorders>
              <w:top w:val="double" w:sz="4" w:space="0" w:color="auto"/>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-.166</w:t>
            </w:r>
          </w:p>
        </w:tc>
        <w:tc>
          <w:tcPr>
            <w:tcW w:w="1321" w:type="dxa"/>
            <w:tcBorders>
              <w:top w:val="double" w:sz="4" w:space="0" w:color="auto"/>
              <w:left w:val="nil"/>
              <w:bottom w:val="nil"/>
              <w:right w:val="single" w:sz="12"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-.102</w:t>
            </w:r>
          </w:p>
        </w:tc>
        <w:tc>
          <w:tcPr>
            <w:tcW w:w="236" w:type="dxa"/>
            <w:tcBorders>
              <w:top w:val="nil"/>
              <w:left w:val="single" w:sz="12" w:space="0" w:color="000000"/>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r>
      <w:tr w:rsidR="00DC2951" w:rsidRPr="008240FD" w:rsidTr="00D43EC3">
        <w:trPr>
          <w:trHeight w:val="480"/>
        </w:trPr>
        <w:tc>
          <w:tcPr>
            <w:tcW w:w="1116" w:type="dxa"/>
            <w:vMerge/>
            <w:tcBorders>
              <w:top w:val="nil"/>
              <w:left w:val="single" w:sz="12" w:space="0" w:color="000000"/>
              <w:bottom w:val="single" w:sz="4" w:space="0" w:color="000000"/>
              <w:right w:val="nil"/>
            </w:tcBorders>
            <w:vAlign w:val="center"/>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9" w:type="dxa"/>
            <w:tcBorders>
              <w:top w:val="nil"/>
              <w:left w:val="nil"/>
              <w:bottom w:val="nil"/>
              <w:right w:val="single" w:sz="12" w:space="0" w:color="000000"/>
            </w:tcBorders>
            <w:shd w:val="clear" w:color="auto" w:fill="auto"/>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Sig. (2-tailed)</w:t>
            </w:r>
          </w:p>
        </w:tc>
        <w:tc>
          <w:tcPr>
            <w:tcW w:w="1260" w:type="dxa"/>
            <w:tcBorders>
              <w:top w:val="nil"/>
              <w:left w:val="single" w:sz="4" w:space="0" w:color="000000"/>
              <w:bottom w:val="nil"/>
              <w:right w:val="single" w:sz="4" w:space="0" w:color="auto"/>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.002</w:t>
            </w:r>
          </w:p>
        </w:tc>
        <w:tc>
          <w:tcPr>
            <w:tcW w:w="1170" w:type="dxa"/>
            <w:tcBorders>
              <w:top w:val="nil"/>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.208</w:t>
            </w:r>
          </w:p>
        </w:tc>
        <w:tc>
          <w:tcPr>
            <w:tcW w:w="990" w:type="dxa"/>
            <w:tcBorders>
              <w:top w:val="nil"/>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.744</w:t>
            </w:r>
          </w:p>
        </w:tc>
        <w:tc>
          <w:tcPr>
            <w:tcW w:w="1170" w:type="dxa"/>
            <w:tcBorders>
              <w:top w:val="nil"/>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.177</w:t>
            </w:r>
          </w:p>
        </w:tc>
        <w:tc>
          <w:tcPr>
            <w:tcW w:w="1170" w:type="dxa"/>
            <w:tcBorders>
              <w:top w:val="nil"/>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.093</w:t>
            </w:r>
          </w:p>
        </w:tc>
        <w:tc>
          <w:tcPr>
            <w:tcW w:w="1321" w:type="dxa"/>
            <w:tcBorders>
              <w:top w:val="nil"/>
              <w:left w:val="nil"/>
              <w:bottom w:val="nil"/>
              <w:right w:val="single" w:sz="12"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.311</w:t>
            </w:r>
          </w:p>
        </w:tc>
        <w:tc>
          <w:tcPr>
            <w:tcW w:w="236" w:type="dxa"/>
            <w:tcBorders>
              <w:top w:val="nil"/>
              <w:left w:val="single" w:sz="12" w:space="0" w:color="000000"/>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r>
      <w:tr w:rsidR="00DC2951" w:rsidRPr="008240FD" w:rsidTr="00D43EC3">
        <w:trPr>
          <w:trHeight w:val="70"/>
        </w:trPr>
        <w:tc>
          <w:tcPr>
            <w:tcW w:w="1116" w:type="dxa"/>
            <w:vMerge/>
            <w:tcBorders>
              <w:top w:val="nil"/>
              <w:left w:val="single" w:sz="12" w:space="0" w:color="000000"/>
              <w:bottom w:val="single" w:sz="4" w:space="0" w:color="000000"/>
              <w:right w:val="nil"/>
            </w:tcBorders>
            <w:vAlign w:val="center"/>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9" w:type="dxa"/>
            <w:tcBorders>
              <w:top w:val="nil"/>
              <w:left w:val="nil"/>
              <w:bottom w:val="single" w:sz="4" w:space="0" w:color="auto"/>
              <w:right w:val="single" w:sz="12" w:space="0" w:color="000000"/>
            </w:tcBorders>
            <w:shd w:val="clear" w:color="auto" w:fill="auto"/>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N</w:t>
            </w:r>
          </w:p>
        </w:tc>
        <w:tc>
          <w:tcPr>
            <w:tcW w:w="1260" w:type="dxa"/>
            <w:tcBorders>
              <w:top w:val="nil"/>
              <w:left w:val="single" w:sz="4" w:space="0" w:color="000000"/>
              <w:bottom w:val="single" w:sz="4" w:space="0" w:color="auto"/>
              <w:right w:val="single" w:sz="4" w:space="0" w:color="auto"/>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105</w:t>
            </w:r>
          </w:p>
        </w:tc>
        <w:tc>
          <w:tcPr>
            <w:tcW w:w="1170" w:type="dxa"/>
            <w:tcBorders>
              <w:top w:val="nil"/>
              <w:left w:val="nil"/>
              <w:bottom w:val="single" w:sz="4" w:space="0" w:color="auto"/>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104</w:t>
            </w:r>
          </w:p>
        </w:tc>
        <w:tc>
          <w:tcPr>
            <w:tcW w:w="990" w:type="dxa"/>
            <w:tcBorders>
              <w:top w:val="nil"/>
              <w:left w:val="nil"/>
              <w:bottom w:val="single" w:sz="4" w:space="0" w:color="auto"/>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104</w:t>
            </w:r>
          </w:p>
        </w:tc>
        <w:tc>
          <w:tcPr>
            <w:tcW w:w="1170" w:type="dxa"/>
            <w:tcBorders>
              <w:top w:val="nil"/>
              <w:left w:val="nil"/>
              <w:bottom w:val="single" w:sz="4" w:space="0" w:color="auto"/>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103</w:t>
            </w:r>
          </w:p>
        </w:tc>
        <w:tc>
          <w:tcPr>
            <w:tcW w:w="1170" w:type="dxa"/>
            <w:tcBorders>
              <w:top w:val="nil"/>
              <w:left w:val="nil"/>
              <w:bottom w:val="single" w:sz="4" w:space="0" w:color="auto"/>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103</w:t>
            </w:r>
          </w:p>
        </w:tc>
        <w:tc>
          <w:tcPr>
            <w:tcW w:w="1321" w:type="dxa"/>
            <w:tcBorders>
              <w:top w:val="nil"/>
              <w:left w:val="nil"/>
              <w:bottom w:val="single" w:sz="4" w:space="0" w:color="auto"/>
              <w:right w:val="single" w:sz="12"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101</w:t>
            </w:r>
          </w:p>
        </w:tc>
        <w:tc>
          <w:tcPr>
            <w:tcW w:w="236" w:type="dxa"/>
            <w:tcBorders>
              <w:top w:val="nil"/>
              <w:left w:val="single" w:sz="12" w:space="0" w:color="000000"/>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r>
      <w:tr w:rsidR="00DC2951" w:rsidRPr="008240FD" w:rsidTr="00D43EC3">
        <w:trPr>
          <w:trHeight w:val="720"/>
        </w:trPr>
        <w:tc>
          <w:tcPr>
            <w:tcW w:w="1116" w:type="dxa"/>
            <w:vMerge w:val="restart"/>
            <w:tcBorders>
              <w:top w:val="nil"/>
              <w:left w:val="single" w:sz="12" w:space="0" w:color="000000"/>
              <w:bottom w:val="single" w:sz="4" w:space="0" w:color="000000"/>
              <w:right w:val="nil"/>
            </w:tcBorders>
            <w:shd w:val="clear" w:color="auto" w:fill="auto"/>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How many hours a week do you work in your primary office?</w:t>
            </w:r>
          </w:p>
        </w:tc>
        <w:tc>
          <w:tcPr>
            <w:tcW w:w="969" w:type="dxa"/>
            <w:tcBorders>
              <w:top w:val="nil"/>
              <w:left w:val="nil"/>
              <w:bottom w:val="nil"/>
              <w:right w:val="single" w:sz="12" w:space="0" w:color="000000"/>
            </w:tcBorders>
            <w:shd w:val="clear" w:color="auto" w:fill="auto"/>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Pearson Correlation</w:t>
            </w:r>
          </w:p>
        </w:tc>
        <w:tc>
          <w:tcPr>
            <w:tcW w:w="1260" w:type="dxa"/>
            <w:tcBorders>
              <w:top w:val="nil"/>
              <w:left w:val="single" w:sz="4" w:space="0" w:color="000000"/>
              <w:bottom w:val="nil"/>
              <w:right w:val="single" w:sz="4" w:space="0" w:color="auto"/>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.364</w:t>
            </w:r>
            <w:r w:rsidR="005F2FEF">
              <w:rPr>
                <w:rFonts w:ascii="Times New Roman" w:eastAsia="Times New Roman" w:hAnsi="Times New Roman" w:cs="Times New Roman"/>
                <w:color w:val="000000"/>
                <w:sz w:val="16"/>
                <w:szCs w:val="16"/>
                <w:vertAlign w:val="superscript"/>
              </w:rPr>
              <w:t>††</w:t>
            </w:r>
          </w:p>
        </w:tc>
        <w:tc>
          <w:tcPr>
            <w:tcW w:w="1170" w:type="dxa"/>
            <w:tcBorders>
              <w:top w:val="nil"/>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.163</w:t>
            </w:r>
          </w:p>
        </w:tc>
        <w:tc>
          <w:tcPr>
            <w:tcW w:w="990" w:type="dxa"/>
            <w:tcBorders>
              <w:top w:val="nil"/>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.091</w:t>
            </w:r>
          </w:p>
        </w:tc>
        <w:tc>
          <w:tcPr>
            <w:tcW w:w="1170" w:type="dxa"/>
            <w:tcBorders>
              <w:top w:val="single" w:sz="4" w:space="0" w:color="auto"/>
              <w:left w:val="nil"/>
              <w:bottom w:val="nil"/>
              <w:right w:val="single" w:sz="4" w:space="0" w:color="000000"/>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.271</w:t>
            </w:r>
            <w:r w:rsidR="005F2FEF">
              <w:rPr>
                <w:rFonts w:ascii="Times New Roman" w:eastAsia="Times New Roman" w:hAnsi="Times New Roman" w:cs="Times New Roman"/>
                <w:color w:val="000000"/>
                <w:sz w:val="16"/>
                <w:szCs w:val="16"/>
                <w:vertAlign w:val="superscript"/>
              </w:rPr>
              <w:t>††</w:t>
            </w:r>
          </w:p>
        </w:tc>
        <w:tc>
          <w:tcPr>
            <w:tcW w:w="1170" w:type="dxa"/>
            <w:tcBorders>
              <w:top w:val="single" w:sz="4" w:space="0" w:color="auto"/>
              <w:left w:val="nil"/>
              <w:bottom w:val="nil"/>
              <w:right w:val="single" w:sz="4" w:space="0" w:color="000000"/>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.201</w:t>
            </w:r>
            <w:r w:rsidR="005F2FEF">
              <w:rPr>
                <w:rFonts w:ascii="Times New Roman" w:eastAsia="Times New Roman" w:hAnsi="Times New Roman" w:cs="Times New Roman"/>
                <w:color w:val="000000"/>
                <w:sz w:val="16"/>
                <w:szCs w:val="16"/>
                <w:vertAlign w:val="superscript"/>
              </w:rPr>
              <w:t>†</w:t>
            </w:r>
          </w:p>
        </w:tc>
        <w:tc>
          <w:tcPr>
            <w:tcW w:w="1321" w:type="dxa"/>
            <w:tcBorders>
              <w:top w:val="single" w:sz="4" w:space="0" w:color="auto"/>
              <w:left w:val="nil"/>
              <w:bottom w:val="nil"/>
              <w:right w:val="single" w:sz="12" w:space="0" w:color="000000"/>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.239</w:t>
            </w:r>
            <w:r w:rsidR="005F2FEF">
              <w:rPr>
                <w:rFonts w:ascii="Times New Roman" w:eastAsia="Times New Roman" w:hAnsi="Times New Roman" w:cs="Times New Roman"/>
                <w:color w:val="000000"/>
                <w:sz w:val="16"/>
                <w:szCs w:val="16"/>
                <w:vertAlign w:val="superscript"/>
              </w:rPr>
              <w:t>†</w:t>
            </w:r>
          </w:p>
        </w:tc>
        <w:tc>
          <w:tcPr>
            <w:tcW w:w="236" w:type="dxa"/>
            <w:tcBorders>
              <w:top w:val="nil"/>
              <w:left w:val="single" w:sz="12" w:space="0" w:color="000000"/>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r>
      <w:tr w:rsidR="00DC2951" w:rsidRPr="008240FD" w:rsidTr="00D43EC3">
        <w:trPr>
          <w:trHeight w:val="480"/>
        </w:trPr>
        <w:tc>
          <w:tcPr>
            <w:tcW w:w="1116" w:type="dxa"/>
            <w:vMerge/>
            <w:tcBorders>
              <w:top w:val="nil"/>
              <w:left w:val="single" w:sz="12" w:space="0" w:color="000000"/>
              <w:bottom w:val="single" w:sz="4" w:space="0" w:color="000000"/>
              <w:right w:val="nil"/>
            </w:tcBorders>
            <w:vAlign w:val="center"/>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9" w:type="dxa"/>
            <w:tcBorders>
              <w:top w:val="nil"/>
              <w:left w:val="nil"/>
              <w:bottom w:val="nil"/>
              <w:right w:val="single" w:sz="12" w:space="0" w:color="000000"/>
            </w:tcBorders>
            <w:shd w:val="clear" w:color="auto" w:fill="auto"/>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Sig. (2-tailed)</w:t>
            </w:r>
          </w:p>
        </w:tc>
        <w:tc>
          <w:tcPr>
            <w:tcW w:w="1260" w:type="dxa"/>
            <w:tcBorders>
              <w:top w:val="nil"/>
              <w:left w:val="single" w:sz="4" w:space="0" w:color="000000"/>
              <w:bottom w:val="nil"/>
              <w:right w:val="single" w:sz="4" w:space="0" w:color="auto"/>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.000</w:t>
            </w:r>
          </w:p>
        </w:tc>
        <w:tc>
          <w:tcPr>
            <w:tcW w:w="1170" w:type="dxa"/>
            <w:tcBorders>
              <w:top w:val="nil"/>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.097</w:t>
            </w:r>
          </w:p>
        </w:tc>
        <w:tc>
          <w:tcPr>
            <w:tcW w:w="990" w:type="dxa"/>
            <w:tcBorders>
              <w:top w:val="nil"/>
              <w:left w:val="nil"/>
              <w:bottom w:val="nil"/>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.354</w:t>
            </w:r>
          </w:p>
        </w:tc>
        <w:tc>
          <w:tcPr>
            <w:tcW w:w="1170" w:type="dxa"/>
            <w:tcBorders>
              <w:top w:val="nil"/>
              <w:left w:val="nil"/>
              <w:bottom w:val="nil"/>
              <w:right w:val="single" w:sz="4" w:space="0" w:color="000000"/>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.005</w:t>
            </w:r>
          </w:p>
        </w:tc>
        <w:tc>
          <w:tcPr>
            <w:tcW w:w="1170" w:type="dxa"/>
            <w:tcBorders>
              <w:top w:val="nil"/>
              <w:left w:val="nil"/>
              <w:bottom w:val="nil"/>
              <w:right w:val="single" w:sz="4" w:space="0" w:color="000000"/>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.041</w:t>
            </w:r>
          </w:p>
        </w:tc>
        <w:tc>
          <w:tcPr>
            <w:tcW w:w="1321" w:type="dxa"/>
            <w:tcBorders>
              <w:top w:val="nil"/>
              <w:left w:val="nil"/>
              <w:bottom w:val="nil"/>
              <w:right w:val="single" w:sz="12" w:space="0" w:color="000000"/>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.016</w:t>
            </w:r>
          </w:p>
        </w:tc>
        <w:tc>
          <w:tcPr>
            <w:tcW w:w="236" w:type="dxa"/>
            <w:tcBorders>
              <w:top w:val="nil"/>
              <w:left w:val="single" w:sz="12" w:space="0" w:color="000000"/>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r>
      <w:tr w:rsidR="00DC2951" w:rsidRPr="008240FD" w:rsidTr="00D43EC3">
        <w:trPr>
          <w:trHeight w:val="70"/>
        </w:trPr>
        <w:tc>
          <w:tcPr>
            <w:tcW w:w="1116" w:type="dxa"/>
            <w:vMerge/>
            <w:tcBorders>
              <w:top w:val="nil"/>
              <w:left w:val="single" w:sz="12" w:space="0" w:color="000000"/>
              <w:bottom w:val="single" w:sz="4" w:space="0" w:color="000000"/>
              <w:right w:val="nil"/>
            </w:tcBorders>
            <w:vAlign w:val="center"/>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9" w:type="dxa"/>
            <w:tcBorders>
              <w:top w:val="nil"/>
              <w:left w:val="nil"/>
              <w:bottom w:val="single" w:sz="4" w:space="0" w:color="auto"/>
              <w:right w:val="single" w:sz="12" w:space="0" w:color="000000"/>
            </w:tcBorders>
            <w:shd w:val="clear" w:color="auto" w:fill="auto"/>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N</w:t>
            </w:r>
          </w:p>
        </w:tc>
        <w:tc>
          <w:tcPr>
            <w:tcW w:w="1260" w:type="dxa"/>
            <w:tcBorders>
              <w:top w:val="nil"/>
              <w:left w:val="single" w:sz="4" w:space="0" w:color="000000"/>
              <w:bottom w:val="single" w:sz="4" w:space="0" w:color="auto"/>
              <w:right w:val="single" w:sz="4" w:space="0" w:color="auto"/>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106</w:t>
            </w:r>
          </w:p>
        </w:tc>
        <w:tc>
          <w:tcPr>
            <w:tcW w:w="1170" w:type="dxa"/>
            <w:tcBorders>
              <w:top w:val="nil"/>
              <w:left w:val="nil"/>
              <w:bottom w:val="single" w:sz="4" w:space="0" w:color="auto"/>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105</w:t>
            </w:r>
          </w:p>
        </w:tc>
        <w:tc>
          <w:tcPr>
            <w:tcW w:w="990" w:type="dxa"/>
            <w:tcBorders>
              <w:top w:val="nil"/>
              <w:left w:val="nil"/>
              <w:bottom w:val="single" w:sz="4" w:space="0" w:color="auto"/>
              <w:right w:val="single" w:sz="4" w:space="0" w:color="000000"/>
            </w:tcBorders>
            <w:shd w:val="clear" w:color="auto" w:fill="auto"/>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105</w:t>
            </w:r>
          </w:p>
        </w:tc>
        <w:tc>
          <w:tcPr>
            <w:tcW w:w="1170" w:type="dxa"/>
            <w:tcBorders>
              <w:top w:val="nil"/>
              <w:left w:val="nil"/>
              <w:bottom w:val="single" w:sz="4" w:space="0" w:color="auto"/>
              <w:right w:val="single" w:sz="4" w:space="0" w:color="000000"/>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104</w:t>
            </w:r>
          </w:p>
        </w:tc>
        <w:tc>
          <w:tcPr>
            <w:tcW w:w="1170" w:type="dxa"/>
            <w:tcBorders>
              <w:top w:val="nil"/>
              <w:left w:val="nil"/>
              <w:bottom w:val="single" w:sz="4" w:space="0" w:color="auto"/>
              <w:right w:val="single" w:sz="4" w:space="0" w:color="000000"/>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104</w:t>
            </w:r>
          </w:p>
        </w:tc>
        <w:tc>
          <w:tcPr>
            <w:tcW w:w="1321" w:type="dxa"/>
            <w:tcBorders>
              <w:top w:val="nil"/>
              <w:left w:val="nil"/>
              <w:bottom w:val="single" w:sz="4" w:space="0" w:color="auto"/>
              <w:right w:val="single" w:sz="12" w:space="0" w:color="000000"/>
            </w:tcBorders>
            <w:shd w:val="clear" w:color="000000" w:fill="D9D9D9" w:themeFill="background1" w:themeFillShade="D9"/>
            <w:noWrap/>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102</w:t>
            </w:r>
          </w:p>
        </w:tc>
        <w:tc>
          <w:tcPr>
            <w:tcW w:w="236" w:type="dxa"/>
            <w:tcBorders>
              <w:top w:val="nil"/>
              <w:left w:val="single" w:sz="12" w:space="0" w:color="000000"/>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r>
      <w:tr w:rsidR="00DC2951" w:rsidRPr="008240FD" w:rsidTr="00D43EC3">
        <w:trPr>
          <w:trHeight w:val="720"/>
        </w:trPr>
        <w:tc>
          <w:tcPr>
            <w:tcW w:w="1116" w:type="dxa"/>
            <w:vMerge w:val="restart"/>
            <w:tcBorders>
              <w:top w:val="nil"/>
              <w:left w:val="single" w:sz="12" w:space="0" w:color="000000"/>
              <w:bottom w:val="single" w:sz="4" w:space="0" w:color="000000"/>
              <w:right w:val="nil"/>
            </w:tcBorders>
            <w:shd w:val="clear" w:color="auto" w:fill="auto"/>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What is your highest degree level of education completed?</w:t>
            </w:r>
          </w:p>
        </w:tc>
        <w:tc>
          <w:tcPr>
            <w:tcW w:w="969" w:type="dxa"/>
            <w:tcBorders>
              <w:top w:val="nil"/>
              <w:left w:val="nil"/>
              <w:bottom w:val="nil"/>
              <w:right w:val="single" w:sz="12" w:space="0" w:color="000000"/>
            </w:tcBorders>
            <w:shd w:val="clear" w:color="auto" w:fill="auto"/>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Pearson Correlation</w:t>
            </w:r>
          </w:p>
        </w:tc>
        <w:tc>
          <w:tcPr>
            <w:tcW w:w="1260" w:type="dxa"/>
            <w:tcBorders>
              <w:top w:val="nil"/>
              <w:left w:val="single" w:sz="4" w:space="0" w:color="000000"/>
              <w:bottom w:val="nil"/>
              <w:right w:val="single" w:sz="4" w:space="0" w:color="auto"/>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.005</w:t>
            </w:r>
          </w:p>
        </w:tc>
        <w:tc>
          <w:tcPr>
            <w:tcW w:w="1170" w:type="dxa"/>
            <w:tcBorders>
              <w:top w:val="single" w:sz="4" w:space="0" w:color="auto"/>
              <w:left w:val="nil"/>
              <w:bottom w:val="nil"/>
              <w:right w:val="single" w:sz="4" w:space="0" w:color="000000"/>
            </w:tcBorders>
            <w:shd w:val="clear" w:color="000000" w:fill="D9D9D9" w:themeFill="background1" w:themeFillShade="D9"/>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.229</w:t>
            </w:r>
            <w:r w:rsidR="005F2FEF">
              <w:rPr>
                <w:rFonts w:ascii="Times New Roman" w:eastAsia="Times New Roman" w:hAnsi="Times New Roman" w:cs="Times New Roman"/>
                <w:color w:val="000000"/>
                <w:sz w:val="16"/>
                <w:szCs w:val="16"/>
                <w:vertAlign w:val="superscript"/>
              </w:rPr>
              <w:t>†</w:t>
            </w:r>
          </w:p>
        </w:tc>
        <w:tc>
          <w:tcPr>
            <w:tcW w:w="990" w:type="dxa"/>
            <w:tcBorders>
              <w:top w:val="single" w:sz="4" w:space="0" w:color="auto"/>
              <w:left w:val="nil"/>
              <w:bottom w:val="nil"/>
              <w:right w:val="single" w:sz="4" w:space="0" w:color="000000"/>
            </w:tcBorders>
            <w:shd w:val="clear" w:color="000000" w:fill="D9D9D9" w:themeFill="background1" w:themeFillShade="D9"/>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.221</w:t>
            </w:r>
            <w:r w:rsidR="005F2FEF">
              <w:rPr>
                <w:rFonts w:ascii="Times New Roman" w:eastAsia="Times New Roman" w:hAnsi="Times New Roman" w:cs="Times New Roman"/>
                <w:color w:val="000000"/>
                <w:sz w:val="16"/>
                <w:szCs w:val="16"/>
                <w:vertAlign w:val="superscript"/>
              </w:rPr>
              <w:t>†</w:t>
            </w:r>
          </w:p>
        </w:tc>
        <w:tc>
          <w:tcPr>
            <w:tcW w:w="1170" w:type="dxa"/>
            <w:tcBorders>
              <w:top w:val="nil"/>
              <w:left w:val="nil"/>
              <w:bottom w:val="nil"/>
              <w:right w:val="single" w:sz="4" w:space="0" w:color="000000"/>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.097</w:t>
            </w:r>
          </w:p>
        </w:tc>
        <w:tc>
          <w:tcPr>
            <w:tcW w:w="1170" w:type="dxa"/>
            <w:tcBorders>
              <w:top w:val="nil"/>
              <w:left w:val="nil"/>
              <w:bottom w:val="nil"/>
              <w:right w:val="single" w:sz="4" w:space="0" w:color="000000"/>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.080</w:t>
            </w:r>
          </w:p>
        </w:tc>
        <w:tc>
          <w:tcPr>
            <w:tcW w:w="1321" w:type="dxa"/>
            <w:tcBorders>
              <w:top w:val="nil"/>
              <w:left w:val="nil"/>
              <w:bottom w:val="nil"/>
              <w:right w:val="single" w:sz="12" w:space="0" w:color="000000"/>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.062</w:t>
            </w:r>
          </w:p>
        </w:tc>
        <w:tc>
          <w:tcPr>
            <w:tcW w:w="236" w:type="dxa"/>
            <w:tcBorders>
              <w:top w:val="nil"/>
              <w:left w:val="single" w:sz="12" w:space="0" w:color="000000"/>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r>
      <w:tr w:rsidR="00DC2951" w:rsidRPr="008240FD" w:rsidTr="00D43EC3">
        <w:trPr>
          <w:trHeight w:val="480"/>
        </w:trPr>
        <w:tc>
          <w:tcPr>
            <w:tcW w:w="1116" w:type="dxa"/>
            <w:vMerge/>
            <w:tcBorders>
              <w:top w:val="nil"/>
              <w:left w:val="single" w:sz="12" w:space="0" w:color="000000"/>
              <w:bottom w:val="single" w:sz="4" w:space="0" w:color="000000"/>
              <w:right w:val="nil"/>
            </w:tcBorders>
            <w:vAlign w:val="center"/>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9" w:type="dxa"/>
            <w:tcBorders>
              <w:top w:val="nil"/>
              <w:left w:val="nil"/>
              <w:bottom w:val="nil"/>
              <w:right w:val="single" w:sz="12" w:space="0" w:color="000000"/>
            </w:tcBorders>
            <w:shd w:val="clear" w:color="auto" w:fill="auto"/>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Sig. (2-tailed)</w:t>
            </w:r>
          </w:p>
        </w:tc>
        <w:tc>
          <w:tcPr>
            <w:tcW w:w="1260" w:type="dxa"/>
            <w:tcBorders>
              <w:top w:val="nil"/>
              <w:left w:val="single" w:sz="4" w:space="0" w:color="000000"/>
              <w:bottom w:val="nil"/>
              <w:right w:val="single" w:sz="4" w:space="0" w:color="auto"/>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.960</w:t>
            </w:r>
          </w:p>
        </w:tc>
        <w:tc>
          <w:tcPr>
            <w:tcW w:w="1170" w:type="dxa"/>
            <w:tcBorders>
              <w:top w:val="nil"/>
              <w:left w:val="nil"/>
              <w:bottom w:val="nil"/>
              <w:right w:val="single" w:sz="4" w:space="0" w:color="000000"/>
            </w:tcBorders>
            <w:shd w:val="clear" w:color="000000" w:fill="D9D9D9" w:themeFill="background1" w:themeFillShade="D9"/>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.016</w:t>
            </w:r>
          </w:p>
        </w:tc>
        <w:tc>
          <w:tcPr>
            <w:tcW w:w="990" w:type="dxa"/>
            <w:tcBorders>
              <w:top w:val="nil"/>
              <w:left w:val="nil"/>
              <w:bottom w:val="nil"/>
              <w:right w:val="single" w:sz="4" w:space="0" w:color="000000"/>
            </w:tcBorders>
            <w:shd w:val="clear" w:color="000000" w:fill="D9D9D9" w:themeFill="background1" w:themeFillShade="D9"/>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.020</w:t>
            </w:r>
          </w:p>
        </w:tc>
        <w:tc>
          <w:tcPr>
            <w:tcW w:w="1170" w:type="dxa"/>
            <w:tcBorders>
              <w:top w:val="nil"/>
              <w:left w:val="nil"/>
              <w:bottom w:val="nil"/>
              <w:right w:val="single" w:sz="4" w:space="0" w:color="000000"/>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.317</w:t>
            </w:r>
          </w:p>
        </w:tc>
        <w:tc>
          <w:tcPr>
            <w:tcW w:w="1170" w:type="dxa"/>
            <w:tcBorders>
              <w:top w:val="nil"/>
              <w:left w:val="nil"/>
              <w:bottom w:val="nil"/>
              <w:right w:val="single" w:sz="4" w:space="0" w:color="000000"/>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.411</w:t>
            </w:r>
          </w:p>
        </w:tc>
        <w:tc>
          <w:tcPr>
            <w:tcW w:w="1321" w:type="dxa"/>
            <w:tcBorders>
              <w:top w:val="nil"/>
              <w:left w:val="nil"/>
              <w:bottom w:val="nil"/>
              <w:right w:val="single" w:sz="12" w:space="0" w:color="000000"/>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.525</w:t>
            </w:r>
          </w:p>
        </w:tc>
        <w:tc>
          <w:tcPr>
            <w:tcW w:w="236" w:type="dxa"/>
            <w:tcBorders>
              <w:top w:val="nil"/>
              <w:left w:val="single" w:sz="12" w:space="0" w:color="000000"/>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r>
      <w:tr w:rsidR="00DC2951" w:rsidRPr="008240FD" w:rsidTr="00D43EC3">
        <w:trPr>
          <w:trHeight w:val="70"/>
        </w:trPr>
        <w:tc>
          <w:tcPr>
            <w:tcW w:w="1116" w:type="dxa"/>
            <w:vMerge/>
            <w:tcBorders>
              <w:top w:val="nil"/>
              <w:left w:val="single" w:sz="12" w:space="0" w:color="000000"/>
              <w:bottom w:val="single" w:sz="12" w:space="0" w:color="000000"/>
              <w:right w:val="nil"/>
            </w:tcBorders>
            <w:vAlign w:val="center"/>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9" w:type="dxa"/>
            <w:tcBorders>
              <w:top w:val="nil"/>
              <w:left w:val="nil"/>
              <w:bottom w:val="single" w:sz="12" w:space="0" w:color="000000"/>
              <w:right w:val="single" w:sz="12" w:space="0" w:color="000000"/>
            </w:tcBorders>
            <w:shd w:val="clear" w:color="auto" w:fill="auto"/>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N</w:t>
            </w:r>
          </w:p>
        </w:tc>
        <w:tc>
          <w:tcPr>
            <w:tcW w:w="1260" w:type="dxa"/>
            <w:tcBorders>
              <w:top w:val="nil"/>
              <w:left w:val="single" w:sz="4" w:space="0" w:color="000000"/>
              <w:bottom w:val="single" w:sz="12" w:space="0" w:color="000000"/>
              <w:right w:val="single" w:sz="4" w:space="0" w:color="auto"/>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111</w:t>
            </w:r>
          </w:p>
        </w:tc>
        <w:tc>
          <w:tcPr>
            <w:tcW w:w="1170" w:type="dxa"/>
            <w:tcBorders>
              <w:top w:val="nil"/>
              <w:left w:val="nil"/>
              <w:bottom w:val="single" w:sz="12" w:space="0" w:color="000000"/>
              <w:right w:val="single" w:sz="4" w:space="0" w:color="000000"/>
            </w:tcBorders>
            <w:shd w:val="clear" w:color="000000" w:fill="D9D9D9" w:themeFill="background1" w:themeFillShade="D9"/>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110</w:t>
            </w:r>
          </w:p>
        </w:tc>
        <w:tc>
          <w:tcPr>
            <w:tcW w:w="990" w:type="dxa"/>
            <w:tcBorders>
              <w:top w:val="nil"/>
              <w:left w:val="nil"/>
              <w:bottom w:val="single" w:sz="12" w:space="0" w:color="000000"/>
              <w:right w:val="single" w:sz="4" w:space="0" w:color="000000"/>
            </w:tcBorders>
            <w:shd w:val="clear" w:color="000000" w:fill="D9D9D9" w:themeFill="background1" w:themeFillShade="D9"/>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110</w:t>
            </w:r>
          </w:p>
        </w:tc>
        <w:tc>
          <w:tcPr>
            <w:tcW w:w="1170" w:type="dxa"/>
            <w:tcBorders>
              <w:top w:val="nil"/>
              <w:left w:val="nil"/>
              <w:bottom w:val="single" w:sz="12" w:space="0" w:color="000000"/>
              <w:right w:val="single" w:sz="4" w:space="0" w:color="000000"/>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109</w:t>
            </w:r>
          </w:p>
        </w:tc>
        <w:tc>
          <w:tcPr>
            <w:tcW w:w="1170" w:type="dxa"/>
            <w:tcBorders>
              <w:top w:val="nil"/>
              <w:left w:val="nil"/>
              <w:bottom w:val="single" w:sz="12" w:space="0" w:color="000000"/>
              <w:right w:val="single" w:sz="4" w:space="0" w:color="000000"/>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109</w:t>
            </w:r>
          </w:p>
        </w:tc>
        <w:tc>
          <w:tcPr>
            <w:tcW w:w="1321" w:type="dxa"/>
            <w:tcBorders>
              <w:top w:val="nil"/>
              <w:left w:val="nil"/>
              <w:bottom w:val="single" w:sz="12" w:space="0" w:color="000000"/>
              <w:right w:val="single" w:sz="12" w:space="0" w:color="000000"/>
            </w:tcBorders>
            <w:shd w:val="clear" w:color="auto" w:fill="auto"/>
            <w:noWrap/>
            <w:hideMark/>
          </w:tcPr>
          <w:p w:rsidR="00DC2951" w:rsidRPr="008240FD" w:rsidRDefault="00DC2951" w:rsidP="008240FD">
            <w:pPr>
              <w:spacing w:after="0" w:line="240" w:lineRule="auto"/>
              <w:jc w:val="right"/>
              <w:rPr>
                <w:rFonts w:ascii="Times New Roman" w:eastAsia="Times New Roman" w:hAnsi="Times New Roman" w:cs="Times New Roman"/>
                <w:color w:val="000000"/>
                <w:sz w:val="16"/>
                <w:szCs w:val="16"/>
              </w:rPr>
            </w:pPr>
            <w:r w:rsidRPr="008240FD">
              <w:rPr>
                <w:rFonts w:ascii="Times New Roman" w:eastAsia="Times New Roman" w:hAnsi="Times New Roman" w:cs="Times New Roman"/>
                <w:color w:val="000000"/>
                <w:sz w:val="16"/>
                <w:szCs w:val="16"/>
              </w:rPr>
              <w:t>107</w:t>
            </w:r>
          </w:p>
        </w:tc>
        <w:tc>
          <w:tcPr>
            <w:tcW w:w="236" w:type="dxa"/>
            <w:tcBorders>
              <w:top w:val="nil"/>
              <w:left w:val="single" w:sz="12" w:space="0" w:color="000000"/>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DC2951" w:rsidRPr="008240FD" w:rsidRDefault="00DC2951" w:rsidP="008240FD">
            <w:pPr>
              <w:spacing w:after="0" w:line="240" w:lineRule="auto"/>
              <w:rPr>
                <w:rFonts w:ascii="Times New Roman" w:eastAsia="Times New Roman" w:hAnsi="Times New Roman" w:cs="Times New Roman"/>
                <w:color w:val="000000"/>
                <w:sz w:val="16"/>
                <w:szCs w:val="16"/>
              </w:rPr>
            </w:pPr>
          </w:p>
        </w:tc>
      </w:tr>
    </w:tbl>
    <w:p w:rsidR="00C85E67" w:rsidRPr="00E46218" w:rsidRDefault="005F2FEF" w:rsidP="00E46218">
      <w:pPr>
        <w:spacing w:line="480" w:lineRule="auto"/>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w:t>
      </w:r>
      <w:r w:rsidR="00DC2951" w:rsidRPr="00E46218">
        <w:rPr>
          <w:rFonts w:ascii="Times New Roman" w:eastAsia="Times New Roman" w:hAnsi="Times New Roman" w:cs="Times New Roman"/>
          <w:sz w:val="18"/>
          <w:szCs w:val="24"/>
        </w:rPr>
        <w:t>Correlation is significant at the 0.05 level (2-tailed)</w:t>
      </w:r>
    </w:p>
    <w:p w:rsidR="00DC2951" w:rsidRPr="00E46218" w:rsidRDefault="005F2FEF" w:rsidP="00E46218">
      <w:pPr>
        <w:spacing w:line="480" w:lineRule="auto"/>
        <w:contextualSpacing/>
        <w:rPr>
          <w:rFonts w:ascii="Times New Roman" w:eastAsia="Times New Roman" w:hAnsi="Times New Roman" w:cs="Times New Roman"/>
          <w:sz w:val="18"/>
          <w:szCs w:val="24"/>
        </w:rPr>
      </w:pPr>
      <w:r>
        <w:rPr>
          <w:rFonts w:ascii="Times New Roman" w:eastAsia="Times New Roman" w:hAnsi="Times New Roman" w:cs="Times New Roman"/>
          <w:sz w:val="18"/>
          <w:szCs w:val="24"/>
        </w:rPr>
        <w:t>††</w:t>
      </w:r>
      <w:r w:rsidR="00DC2951" w:rsidRPr="00E46218">
        <w:rPr>
          <w:rFonts w:ascii="Times New Roman" w:eastAsia="Times New Roman" w:hAnsi="Times New Roman" w:cs="Times New Roman"/>
          <w:sz w:val="18"/>
          <w:szCs w:val="24"/>
        </w:rPr>
        <w:t>Correlation is significant at the 0.01 level (2-tailed)</w:t>
      </w:r>
    </w:p>
    <w:p w:rsidR="00DC2951" w:rsidRPr="00DC2951" w:rsidRDefault="00DC2951" w:rsidP="00DC2951">
      <w:pPr>
        <w:spacing w:line="240" w:lineRule="auto"/>
        <w:rPr>
          <w:rFonts w:ascii="Times New Roman" w:eastAsia="Times New Roman" w:hAnsi="Times New Roman" w:cs="Times New Roman"/>
          <w:b/>
          <w:sz w:val="18"/>
          <w:szCs w:val="24"/>
        </w:rPr>
      </w:pPr>
    </w:p>
    <w:p w:rsidR="004E1583" w:rsidRDefault="004E1583" w:rsidP="00081444">
      <w:pPr>
        <w:spacing w:line="240" w:lineRule="auto"/>
        <w:contextualSpacing/>
        <w:rPr>
          <w:rFonts w:ascii="Times New Roman" w:eastAsia="Times New Roman" w:hAnsi="Times New Roman" w:cs="Times New Roman"/>
          <w:b/>
          <w:sz w:val="18"/>
          <w:szCs w:val="18"/>
        </w:rPr>
      </w:pPr>
    </w:p>
    <w:p w:rsidR="00E46218" w:rsidRDefault="00E46218" w:rsidP="00E46218">
      <w:pPr>
        <w:spacing w:line="480" w:lineRule="auto"/>
        <w:contextualSpacing/>
        <w:rPr>
          <w:rFonts w:ascii="Times New Roman" w:eastAsia="Times New Roman" w:hAnsi="Times New Roman" w:cs="Times New Roman"/>
          <w:b/>
          <w:sz w:val="18"/>
          <w:szCs w:val="18"/>
        </w:rPr>
      </w:pPr>
    </w:p>
    <w:p w:rsidR="00E46218" w:rsidRDefault="00E46218" w:rsidP="00E46218">
      <w:pPr>
        <w:spacing w:line="480" w:lineRule="auto"/>
        <w:contextualSpacing/>
        <w:rPr>
          <w:rFonts w:ascii="Times New Roman" w:eastAsia="Times New Roman" w:hAnsi="Times New Roman" w:cs="Times New Roman"/>
          <w:b/>
          <w:sz w:val="18"/>
          <w:szCs w:val="18"/>
        </w:rPr>
      </w:pPr>
    </w:p>
    <w:p w:rsidR="00E46218" w:rsidRDefault="00E46218" w:rsidP="00E46218">
      <w:pPr>
        <w:spacing w:line="480" w:lineRule="auto"/>
        <w:contextualSpacing/>
        <w:rPr>
          <w:rFonts w:ascii="Times New Roman" w:eastAsia="Times New Roman" w:hAnsi="Times New Roman" w:cs="Times New Roman"/>
          <w:b/>
          <w:sz w:val="18"/>
          <w:szCs w:val="18"/>
        </w:rPr>
      </w:pPr>
    </w:p>
    <w:p w:rsidR="00E46218" w:rsidRDefault="00E46218" w:rsidP="00E46218">
      <w:pPr>
        <w:spacing w:line="480" w:lineRule="auto"/>
        <w:contextualSpacing/>
        <w:rPr>
          <w:rFonts w:ascii="Times New Roman" w:eastAsia="Times New Roman" w:hAnsi="Times New Roman" w:cs="Times New Roman"/>
          <w:b/>
          <w:sz w:val="18"/>
          <w:szCs w:val="18"/>
        </w:rPr>
      </w:pPr>
    </w:p>
    <w:p w:rsidR="00E46218" w:rsidRDefault="00E46218" w:rsidP="00E46218">
      <w:pPr>
        <w:spacing w:line="480" w:lineRule="auto"/>
        <w:contextualSpacing/>
        <w:rPr>
          <w:rFonts w:ascii="Times New Roman" w:eastAsia="Times New Roman" w:hAnsi="Times New Roman" w:cs="Times New Roman"/>
          <w:b/>
          <w:sz w:val="18"/>
          <w:szCs w:val="18"/>
        </w:rPr>
      </w:pPr>
    </w:p>
    <w:p w:rsidR="00E46218" w:rsidRDefault="00E46218" w:rsidP="00E46218">
      <w:pPr>
        <w:spacing w:line="480" w:lineRule="auto"/>
        <w:contextualSpacing/>
        <w:rPr>
          <w:rFonts w:ascii="Times New Roman" w:eastAsia="Times New Roman" w:hAnsi="Times New Roman" w:cs="Times New Roman"/>
          <w:b/>
          <w:sz w:val="18"/>
          <w:szCs w:val="18"/>
        </w:rPr>
      </w:pPr>
    </w:p>
    <w:p w:rsidR="00E46218" w:rsidRDefault="00E46218" w:rsidP="00E46218">
      <w:pPr>
        <w:spacing w:line="480" w:lineRule="auto"/>
        <w:contextualSpacing/>
        <w:rPr>
          <w:rFonts w:ascii="Times New Roman" w:eastAsia="Times New Roman" w:hAnsi="Times New Roman" w:cs="Times New Roman"/>
          <w:b/>
          <w:sz w:val="18"/>
          <w:szCs w:val="18"/>
        </w:rPr>
      </w:pPr>
    </w:p>
    <w:p w:rsidR="00E46218" w:rsidRDefault="00E46218" w:rsidP="00E46218">
      <w:pPr>
        <w:spacing w:line="480" w:lineRule="auto"/>
        <w:contextualSpacing/>
        <w:rPr>
          <w:rFonts w:ascii="Times New Roman" w:eastAsia="Times New Roman" w:hAnsi="Times New Roman" w:cs="Times New Roman"/>
          <w:b/>
          <w:sz w:val="18"/>
          <w:szCs w:val="18"/>
        </w:rPr>
      </w:pPr>
    </w:p>
    <w:p w:rsidR="00E46218" w:rsidRDefault="00E46218" w:rsidP="00E46218">
      <w:pPr>
        <w:spacing w:line="480" w:lineRule="auto"/>
        <w:contextualSpacing/>
        <w:rPr>
          <w:rFonts w:ascii="Times New Roman" w:eastAsia="Times New Roman" w:hAnsi="Times New Roman" w:cs="Times New Roman"/>
          <w:b/>
          <w:sz w:val="18"/>
          <w:szCs w:val="18"/>
        </w:rPr>
      </w:pPr>
    </w:p>
    <w:p w:rsidR="00E46218" w:rsidRDefault="00E46218" w:rsidP="00E46218">
      <w:pPr>
        <w:spacing w:line="480" w:lineRule="auto"/>
        <w:contextualSpacing/>
        <w:rPr>
          <w:rFonts w:ascii="Times New Roman" w:eastAsia="Times New Roman" w:hAnsi="Times New Roman" w:cs="Times New Roman"/>
          <w:b/>
          <w:sz w:val="18"/>
          <w:szCs w:val="18"/>
        </w:rPr>
      </w:pPr>
    </w:p>
    <w:p w:rsidR="00C9078A" w:rsidRDefault="00C9078A" w:rsidP="00E46218">
      <w:pPr>
        <w:spacing w:line="480" w:lineRule="auto"/>
        <w:contextualSpacing/>
        <w:rPr>
          <w:rFonts w:ascii="Times New Roman" w:eastAsia="Times New Roman" w:hAnsi="Times New Roman" w:cs="Times New Roman"/>
          <w:b/>
          <w:sz w:val="18"/>
          <w:szCs w:val="18"/>
        </w:rPr>
      </w:pPr>
    </w:p>
    <w:p w:rsidR="00A56745" w:rsidRPr="00500750" w:rsidRDefault="00AE7B36" w:rsidP="00E46218">
      <w:pPr>
        <w:spacing w:line="480" w:lineRule="auto"/>
        <w:contextualSpacing/>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Table </w:t>
      </w:r>
      <w:r w:rsidR="001A283D">
        <w:rPr>
          <w:rFonts w:ascii="Times New Roman" w:eastAsia="Times New Roman" w:hAnsi="Times New Roman" w:cs="Times New Roman"/>
          <w:b/>
          <w:sz w:val="18"/>
          <w:szCs w:val="18"/>
        </w:rPr>
        <w:t>4</w:t>
      </w:r>
    </w:p>
    <w:p w:rsidR="00500750" w:rsidRPr="00500750" w:rsidRDefault="00C85E67" w:rsidP="00E46218">
      <w:pPr>
        <w:spacing w:line="480" w:lineRule="auto"/>
        <w:contextualSpacing/>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Relationships </w:t>
      </w:r>
      <w:r w:rsidR="00500750" w:rsidRPr="00500750">
        <w:rPr>
          <w:rFonts w:ascii="Times New Roman" w:eastAsia="Times New Roman" w:hAnsi="Times New Roman" w:cs="Times New Roman"/>
          <w:b/>
          <w:sz w:val="18"/>
          <w:szCs w:val="18"/>
        </w:rPr>
        <w:t>between demographics and respondents awareness and use of AAP assessment parameters</w:t>
      </w:r>
    </w:p>
    <w:tbl>
      <w:tblPr>
        <w:tblW w:w="6907" w:type="dxa"/>
        <w:tblInd w:w="93" w:type="dxa"/>
        <w:tblLook w:val="04A0" w:firstRow="1" w:lastRow="0" w:firstColumn="1" w:lastColumn="0" w:noHBand="0" w:noVBand="1"/>
      </w:tblPr>
      <w:tblGrid>
        <w:gridCol w:w="1371"/>
        <w:gridCol w:w="1036"/>
        <w:gridCol w:w="1620"/>
        <w:gridCol w:w="1440"/>
        <w:gridCol w:w="1440"/>
      </w:tblGrid>
      <w:tr w:rsidR="00487E68" w:rsidRPr="00A56745" w:rsidTr="005F2FEF">
        <w:trPr>
          <w:trHeight w:val="1392"/>
        </w:trPr>
        <w:tc>
          <w:tcPr>
            <w:tcW w:w="2407"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 </w:t>
            </w:r>
          </w:p>
        </w:tc>
        <w:tc>
          <w:tcPr>
            <w:tcW w:w="1620" w:type="dxa"/>
            <w:tcBorders>
              <w:top w:val="single" w:sz="12" w:space="0" w:color="000000"/>
              <w:left w:val="nil"/>
              <w:bottom w:val="double" w:sz="4" w:space="0" w:color="auto"/>
              <w:right w:val="single" w:sz="4" w:space="0" w:color="000000"/>
            </w:tcBorders>
            <w:shd w:val="clear" w:color="auto" w:fill="auto"/>
            <w:vAlign w:val="bottom"/>
            <w:hideMark/>
          </w:tcPr>
          <w:p w:rsidR="00487E68" w:rsidRPr="00A56745" w:rsidRDefault="00487E68" w:rsidP="00A56745">
            <w:pPr>
              <w:spacing w:after="0" w:line="240" w:lineRule="auto"/>
              <w:jc w:val="center"/>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 xml:space="preserve">What is your employment status in </w:t>
            </w:r>
            <w:proofErr w:type="gramStart"/>
            <w:r w:rsidRPr="00A56745">
              <w:rPr>
                <w:rFonts w:ascii="Times New Roman" w:eastAsia="Times New Roman" w:hAnsi="Times New Roman" w:cs="Times New Roman"/>
                <w:color w:val="000000"/>
                <w:sz w:val="18"/>
                <w:szCs w:val="18"/>
              </w:rPr>
              <w:t>your  primary</w:t>
            </w:r>
            <w:proofErr w:type="gramEnd"/>
            <w:r w:rsidRPr="00A56745">
              <w:rPr>
                <w:rFonts w:ascii="Times New Roman" w:eastAsia="Times New Roman" w:hAnsi="Times New Roman" w:cs="Times New Roman"/>
                <w:color w:val="000000"/>
                <w:sz w:val="18"/>
                <w:szCs w:val="18"/>
              </w:rPr>
              <w:t xml:space="preserve"> office?</w:t>
            </w:r>
          </w:p>
        </w:tc>
        <w:tc>
          <w:tcPr>
            <w:tcW w:w="1440" w:type="dxa"/>
            <w:tcBorders>
              <w:top w:val="single" w:sz="12" w:space="0" w:color="000000"/>
              <w:left w:val="nil"/>
              <w:bottom w:val="double" w:sz="4" w:space="0" w:color="auto"/>
              <w:right w:val="single" w:sz="8" w:space="0" w:color="000000"/>
            </w:tcBorders>
            <w:shd w:val="clear" w:color="auto" w:fill="auto"/>
            <w:vAlign w:val="bottom"/>
            <w:hideMark/>
          </w:tcPr>
          <w:p w:rsidR="00487E68" w:rsidRPr="00A56745" w:rsidRDefault="00487E68" w:rsidP="00A56745">
            <w:pPr>
              <w:spacing w:after="0" w:line="240" w:lineRule="auto"/>
              <w:jc w:val="center"/>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How many hours a week do you work in your primary office?</w:t>
            </w:r>
          </w:p>
        </w:tc>
        <w:tc>
          <w:tcPr>
            <w:tcW w:w="1440" w:type="dxa"/>
            <w:tcBorders>
              <w:top w:val="single" w:sz="12" w:space="0" w:color="000000"/>
              <w:left w:val="single" w:sz="8" w:space="0" w:color="000000"/>
              <w:bottom w:val="double" w:sz="4" w:space="0" w:color="auto"/>
              <w:right w:val="single" w:sz="12" w:space="0" w:color="000000"/>
            </w:tcBorders>
            <w:shd w:val="clear" w:color="auto" w:fill="auto"/>
            <w:vAlign w:val="bottom"/>
            <w:hideMark/>
          </w:tcPr>
          <w:p w:rsidR="00487E68" w:rsidRPr="00A56745" w:rsidRDefault="00487E68" w:rsidP="00A56745">
            <w:pPr>
              <w:spacing w:after="0" w:line="240" w:lineRule="auto"/>
              <w:jc w:val="center"/>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What is your highest degree level of education completed?</w:t>
            </w:r>
          </w:p>
        </w:tc>
      </w:tr>
      <w:tr w:rsidR="00487E68" w:rsidRPr="00A56745" w:rsidTr="005F2FEF">
        <w:trPr>
          <w:trHeight w:val="735"/>
        </w:trPr>
        <w:tc>
          <w:tcPr>
            <w:tcW w:w="1371" w:type="dxa"/>
            <w:vMerge w:val="restart"/>
            <w:tcBorders>
              <w:top w:val="nil"/>
              <w:left w:val="single" w:sz="12" w:space="0" w:color="000000"/>
              <w:bottom w:val="single" w:sz="4" w:space="0" w:color="000000"/>
              <w:right w:val="single" w:sz="4" w:space="0" w:color="auto"/>
            </w:tcBorders>
            <w:shd w:val="clear" w:color="auto" w:fill="auto"/>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I am aware of the parameters of the comprehensive periodontal assessment as defined by the American...</w:t>
            </w:r>
          </w:p>
        </w:tc>
        <w:tc>
          <w:tcPr>
            <w:tcW w:w="1036" w:type="dxa"/>
            <w:tcBorders>
              <w:top w:val="nil"/>
              <w:left w:val="nil"/>
              <w:bottom w:val="nil"/>
              <w:right w:val="single" w:sz="12" w:space="0" w:color="000000"/>
            </w:tcBorders>
            <w:shd w:val="clear" w:color="auto" w:fill="auto"/>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Pearson Correlation</w:t>
            </w:r>
          </w:p>
        </w:tc>
        <w:tc>
          <w:tcPr>
            <w:tcW w:w="1620" w:type="dxa"/>
            <w:tcBorders>
              <w:top w:val="double" w:sz="4" w:space="0" w:color="auto"/>
              <w:left w:val="nil"/>
              <w:bottom w:val="nil"/>
              <w:right w:val="single" w:sz="4" w:space="0" w:color="000000"/>
            </w:tcBorders>
            <w:shd w:val="clear" w:color="auto" w:fill="auto"/>
            <w:noWrap/>
            <w:hideMark/>
          </w:tcPr>
          <w:p w:rsidR="00487E68" w:rsidRPr="00A56745" w:rsidRDefault="00487E68" w:rsidP="00A56745">
            <w:pPr>
              <w:spacing w:after="0" w:line="240" w:lineRule="auto"/>
              <w:jc w:val="right"/>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-.111</w:t>
            </w:r>
          </w:p>
        </w:tc>
        <w:tc>
          <w:tcPr>
            <w:tcW w:w="1440" w:type="dxa"/>
            <w:tcBorders>
              <w:top w:val="double" w:sz="4" w:space="0" w:color="auto"/>
              <w:left w:val="nil"/>
              <w:bottom w:val="nil"/>
              <w:right w:val="single" w:sz="8" w:space="0" w:color="000000"/>
            </w:tcBorders>
            <w:shd w:val="clear" w:color="auto" w:fill="auto"/>
            <w:noWrap/>
            <w:hideMark/>
          </w:tcPr>
          <w:p w:rsidR="00487E68" w:rsidRPr="00A56745" w:rsidRDefault="00487E68" w:rsidP="00A56745">
            <w:pPr>
              <w:spacing w:after="0" w:line="240" w:lineRule="auto"/>
              <w:jc w:val="right"/>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.140</w:t>
            </w:r>
          </w:p>
        </w:tc>
        <w:tc>
          <w:tcPr>
            <w:tcW w:w="1440" w:type="dxa"/>
            <w:tcBorders>
              <w:top w:val="double" w:sz="4" w:space="0" w:color="auto"/>
              <w:left w:val="single" w:sz="8" w:space="0" w:color="000000"/>
              <w:bottom w:val="nil"/>
              <w:right w:val="single" w:sz="12" w:space="0" w:color="000000"/>
            </w:tcBorders>
            <w:shd w:val="solid" w:color="BFBFBF" w:themeColor="background1" w:themeShade="BF" w:fill="BFBFBF" w:themeFill="background1" w:themeFillShade="BF"/>
            <w:noWrap/>
            <w:hideMark/>
          </w:tcPr>
          <w:p w:rsidR="00487E68" w:rsidRPr="00A56745" w:rsidRDefault="00487E68" w:rsidP="00A56745">
            <w:pPr>
              <w:spacing w:after="0" w:line="240" w:lineRule="auto"/>
              <w:jc w:val="right"/>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.361</w:t>
            </w:r>
            <w:r w:rsidR="005F2FEF">
              <w:rPr>
                <w:rFonts w:ascii="Times New Roman" w:eastAsia="Times New Roman" w:hAnsi="Times New Roman" w:cs="Times New Roman"/>
                <w:color w:val="000000"/>
                <w:sz w:val="18"/>
                <w:szCs w:val="18"/>
                <w:vertAlign w:val="superscript"/>
              </w:rPr>
              <w:t>††</w:t>
            </w:r>
          </w:p>
        </w:tc>
      </w:tr>
      <w:tr w:rsidR="00487E68" w:rsidRPr="00A56745" w:rsidTr="005F2FEF">
        <w:trPr>
          <w:trHeight w:val="480"/>
        </w:trPr>
        <w:tc>
          <w:tcPr>
            <w:tcW w:w="1371" w:type="dxa"/>
            <w:vMerge/>
            <w:tcBorders>
              <w:top w:val="nil"/>
              <w:left w:val="single" w:sz="12" w:space="0" w:color="000000"/>
              <w:bottom w:val="single" w:sz="4" w:space="0" w:color="000000"/>
              <w:right w:val="single" w:sz="4" w:space="0" w:color="auto"/>
            </w:tcBorders>
            <w:vAlign w:val="center"/>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p>
        </w:tc>
        <w:tc>
          <w:tcPr>
            <w:tcW w:w="1036" w:type="dxa"/>
            <w:tcBorders>
              <w:top w:val="nil"/>
              <w:left w:val="nil"/>
              <w:bottom w:val="nil"/>
              <w:right w:val="single" w:sz="12" w:space="0" w:color="000000"/>
            </w:tcBorders>
            <w:shd w:val="clear" w:color="auto" w:fill="auto"/>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Sig. (2-tailed)</w:t>
            </w:r>
          </w:p>
        </w:tc>
        <w:tc>
          <w:tcPr>
            <w:tcW w:w="1620" w:type="dxa"/>
            <w:tcBorders>
              <w:top w:val="nil"/>
              <w:left w:val="nil"/>
              <w:bottom w:val="nil"/>
              <w:right w:val="single" w:sz="4" w:space="0" w:color="000000"/>
            </w:tcBorders>
            <w:shd w:val="clear" w:color="auto" w:fill="auto"/>
            <w:noWrap/>
            <w:hideMark/>
          </w:tcPr>
          <w:p w:rsidR="00487E68" w:rsidRPr="00A56745" w:rsidRDefault="00487E68" w:rsidP="00A56745">
            <w:pPr>
              <w:spacing w:after="0" w:line="240" w:lineRule="auto"/>
              <w:jc w:val="right"/>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.270</w:t>
            </w:r>
          </w:p>
        </w:tc>
        <w:tc>
          <w:tcPr>
            <w:tcW w:w="1440" w:type="dxa"/>
            <w:tcBorders>
              <w:top w:val="nil"/>
              <w:left w:val="nil"/>
              <w:bottom w:val="nil"/>
              <w:right w:val="single" w:sz="8" w:space="0" w:color="000000"/>
            </w:tcBorders>
            <w:shd w:val="clear" w:color="auto" w:fill="auto"/>
            <w:noWrap/>
            <w:hideMark/>
          </w:tcPr>
          <w:p w:rsidR="00487E68" w:rsidRPr="00A56745" w:rsidRDefault="00487E68" w:rsidP="00A56745">
            <w:pPr>
              <w:spacing w:after="0" w:line="240" w:lineRule="auto"/>
              <w:jc w:val="right"/>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.160</w:t>
            </w:r>
          </w:p>
        </w:tc>
        <w:tc>
          <w:tcPr>
            <w:tcW w:w="1440" w:type="dxa"/>
            <w:tcBorders>
              <w:top w:val="nil"/>
              <w:left w:val="single" w:sz="8" w:space="0" w:color="000000"/>
              <w:bottom w:val="nil"/>
              <w:right w:val="single" w:sz="12" w:space="0" w:color="000000"/>
            </w:tcBorders>
            <w:shd w:val="solid" w:color="BFBFBF" w:themeColor="background1" w:themeShade="BF" w:fill="BFBFBF" w:themeFill="background1" w:themeFillShade="BF"/>
            <w:noWrap/>
            <w:hideMark/>
          </w:tcPr>
          <w:p w:rsidR="00487E68" w:rsidRPr="00A56745" w:rsidRDefault="00487E68" w:rsidP="00A56745">
            <w:pPr>
              <w:spacing w:after="0" w:line="240" w:lineRule="auto"/>
              <w:jc w:val="right"/>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.000</w:t>
            </w:r>
          </w:p>
        </w:tc>
      </w:tr>
      <w:tr w:rsidR="00487E68" w:rsidRPr="00A56745" w:rsidTr="005F2FEF">
        <w:trPr>
          <w:trHeight w:val="300"/>
        </w:trPr>
        <w:tc>
          <w:tcPr>
            <w:tcW w:w="1371" w:type="dxa"/>
            <w:vMerge/>
            <w:tcBorders>
              <w:top w:val="nil"/>
              <w:left w:val="single" w:sz="12" w:space="0" w:color="000000"/>
              <w:bottom w:val="single" w:sz="12" w:space="0" w:color="000000"/>
              <w:right w:val="single" w:sz="4" w:space="0" w:color="auto"/>
            </w:tcBorders>
            <w:vAlign w:val="center"/>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p>
        </w:tc>
        <w:tc>
          <w:tcPr>
            <w:tcW w:w="1036" w:type="dxa"/>
            <w:tcBorders>
              <w:top w:val="nil"/>
              <w:left w:val="nil"/>
              <w:bottom w:val="single" w:sz="12" w:space="0" w:color="000000"/>
              <w:right w:val="single" w:sz="12" w:space="0" w:color="000000"/>
            </w:tcBorders>
            <w:shd w:val="clear" w:color="auto" w:fill="auto"/>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N</w:t>
            </w:r>
          </w:p>
        </w:tc>
        <w:tc>
          <w:tcPr>
            <w:tcW w:w="1620" w:type="dxa"/>
            <w:tcBorders>
              <w:top w:val="nil"/>
              <w:left w:val="nil"/>
              <w:bottom w:val="single" w:sz="12" w:space="0" w:color="000000"/>
              <w:right w:val="single" w:sz="4" w:space="0" w:color="000000"/>
            </w:tcBorders>
            <w:shd w:val="clear" w:color="auto" w:fill="auto"/>
            <w:noWrap/>
            <w:hideMark/>
          </w:tcPr>
          <w:p w:rsidR="00487E68" w:rsidRPr="00A56745" w:rsidRDefault="00487E68" w:rsidP="00A56745">
            <w:pPr>
              <w:spacing w:after="0" w:line="240" w:lineRule="auto"/>
              <w:jc w:val="right"/>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101</w:t>
            </w:r>
          </w:p>
        </w:tc>
        <w:tc>
          <w:tcPr>
            <w:tcW w:w="1440" w:type="dxa"/>
            <w:tcBorders>
              <w:top w:val="nil"/>
              <w:left w:val="nil"/>
              <w:bottom w:val="single" w:sz="12" w:space="0" w:color="000000"/>
              <w:right w:val="single" w:sz="8" w:space="0" w:color="000000"/>
            </w:tcBorders>
            <w:shd w:val="clear" w:color="auto" w:fill="auto"/>
            <w:noWrap/>
            <w:hideMark/>
          </w:tcPr>
          <w:p w:rsidR="00487E68" w:rsidRPr="00A56745" w:rsidRDefault="00487E68" w:rsidP="00A56745">
            <w:pPr>
              <w:spacing w:after="0" w:line="240" w:lineRule="auto"/>
              <w:jc w:val="right"/>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102</w:t>
            </w:r>
          </w:p>
        </w:tc>
        <w:tc>
          <w:tcPr>
            <w:tcW w:w="1440" w:type="dxa"/>
            <w:tcBorders>
              <w:top w:val="nil"/>
              <w:left w:val="single" w:sz="8" w:space="0" w:color="000000"/>
              <w:bottom w:val="single" w:sz="12" w:space="0" w:color="000000"/>
              <w:right w:val="single" w:sz="12" w:space="0" w:color="000000"/>
            </w:tcBorders>
            <w:shd w:val="solid" w:color="BFBFBF" w:themeColor="background1" w:themeShade="BF" w:fill="BFBFBF" w:themeFill="background1" w:themeFillShade="BF"/>
            <w:noWrap/>
            <w:hideMark/>
          </w:tcPr>
          <w:p w:rsidR="00487E68" w:rsidRPr="00A56745" w:rsidRDefault="00487E68" w:rsidP="00A56745">
            <w:pPr>
              <w:spacing w:after="0" w:line="240" w:lineRule="auto"/>
              <w:jc w:val="right"/>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107</w:t>
            </w:r>
          </w:p>
        </w:tc>
      </w:tr>
      <w:tr w:rsidR="00323CF8" w:rsidRPr="00A56745" w:rsidTr="005F2FEF">
        <w:trPr>
          <w:trHeight w:val="737"/>
        </w:trPr>
        <w:tc>
          <w:tcPr>
            <w:tcW w:w="1371" w:type="dxa"/>
            <w:vMerge w:val="restart"/>
            <w:tcBorders>
              <w:top w:val="single" w:sz="12" w:space="0" w:color="000000"/>
              <w:left w:val="single" w:sz="12" w:space="0" w:color="000000"/>
              <w:bottom w:val="single" w:sz="12" w:space="0" w:color="000000"/>
              <w:right w:val="single" w:sz="4" w:space="0" w:color="auto"/>
            </w:tcBorders>
            <w:shd w:val="clear" w:color="auto" w:fill="auto"/>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 xml:space="preserve">I perform the periodontal assessment procedures, as defined by the American Academy of </w:t>
            </w:r>
            <w:proofErr w:type="spellStart"/>
            <w:r w:rsidRPr="00A56745">
              <w:rPr>
                <w:rFonts w:ascii="Times New Roman" w:eastAsia="Times New Roman" w:hAnsi="Times New Roman" w:cs="Times New Roman"/>
                <w:color w:val="000000"/>
                <w:sz w:val="18"/>
                <w:szCs w:val="18"/>
              </w:rPr>
              <w:t>Periodontolog</w:t>
            </w:r>
            <w:proofErr w:type="spellEnd"/>
            <w:r w:rsidRPr="00A56745">
              <w:rPr>
                <w:rFonts w:ascii="Times New Roman" w:eastAsia="Times New Roman" w:hAnsi="Times New Roman" w:cs="Times New Roman"/>
                <w:color w:val="000000"/>
                <w:sz w:val="18"/>
                <w:szCs w:val="18"/>
              </w:rPr>
              <w:t>...</w:t>
            </w:r>
          </w:p>
        </w:tc>
        <w:tc>
          <w:tcPr>
            <w:tcW w:w="1036" w:type="dxa"/>
            <w:tcBorders>
              <w:top w:val="single" w:sz="12" w:space="0" w:color="000000"/>
              <w:left w:val="nil"/>
              <w:bottom w:val="nil"/>
              <w:right w:val="single" w:sz="12" w:space="0" w:color="000000"/>
            </w:tcBorders>
            <w:shd w:val="clear" w:color="auto" w:fill="auto"/>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Pearson Correlation</w:t>
            </w:r>
          </w:p>
        </w:tc>
        <w:tc>
          <w:tcPr>
            <w:tcW w:w="1620" w:type="dxa"/>
            <w:tcBorders>
              <w:top w:val="single" w:sz="12" w:space="0" w:color="000000"/>
              <w:left w:val="nil"/>
              <w:bottom w:val="nil"/>
              <w:right w:val="single" w:sz="4" w:space="0" w:color="000000"/>
            </w:tcBorders>
            <w:shd w:val="solid" w:color="BFBFBF" w:themeColor="background1" w:themeShade="BF" w:fill="A6A6A6" w:themeFill="background1" w:themeFillShade="A6"/>
            <w:noWrap/>
            <w:hideMark/>
          </w:tcPr>
          <w:p w:rsidR="00487E68" w:rsidRPr="00C9078A" w:rsidRDefault="00487E68" w:rsidP="005F2FEF">
            <w:pPr>
              <w:spacing w:after="0" w:line="240" w:lineRule="auto"/>
              <w:jc w:val="right"/>
              <w:rPr>
                <w:rFonts w:ascii="Times New Roman" w:eastAsia="Times New Roman" w:hAnsi="Times New Roman" w:cs="Times New Roman"/>
                <w:color w:val="000000"/>
                <w:sz w:val="18"/>
                <w:szCs w:val="18"/>
              </w:rPr>
            </w:pPr>
            <w:r w:rsidRPr="00C9078A">
              <w:rPr>
                <w:rFonts w:ascii="Times New Roman" w:eastAsia="Times New Roman" w:hAnsi="Times New Roman" w:cs="Times New Roman"/>
                <w:color w:val="000000"/>
                <w:sz w:val="18"/>
                <w:szCs w:val="18"/>
              </w:rPr>
              <w:t>-.336</w:t>
            </w:r>
            <w:r w:rsidR="005F2FEF">
              <w:rPr>
                <w:rFonts w:ascii="Times New Roman" w:eastAsia="Times New Roman" w:hAnsi="Times New Roman" w:cs="Times New Roman"/>
                <w:color w:val="000000"/>
                <w:sz w:val="18"/>
                <w:szCs w:val="18"/>
              </w:rPr>
              <w:t>††</w:t>
            </w:r>
          </w:p>
        </w:tc>
        <w:tc>
          <w:tcPr>
            <w:tcW w:w="1440" w:type="dxa"/>
            <w:tcBorders>
              <w:top w:val="single" w:sz="12" w:space="0" w:color="000000"/>
              <w:left w:val="nil"/>
              <w:bottom w:val="nil"/>
              <w:right w:val="single" w:sz="8" w:space="0" w:color="000000"/>
            </w:tcBorders>
            <w:shd w:val="solid" w:color="BFBFBF" w:themeColor="background1" w:themeShade="BF" w:fill="A6A6A6" w:themeFill="background1" w:themeFillShade="A6"/>
            <w:noWrap/>
            <w:hideMark/>
          </w:tcPr>
          <w:p w:rsidR="00487E68" w:rsidRPr="00C9078A" w:rsidRDefault="00487E68" w:rsidP="00A56745">
            <w:pPr>
              <w:spacing w:after="0" w:line="240" w:lineRule="auto"/>
              <w:jc w:val="right"/>
              <w:rPr>
                <w:rFonts w:ascii="Times New Roman" w:eastAsia="Times New Roman" w:hAnsi="Times New Roman" w:cs="Times New Roman"/>
                <w:color w:val="000000"/>
                <w:sz w:val="18"/>
                <w:szCs w:val="18"/>
              </w:rPr>
            </w:pPr>
            <w:r w:rsidRPr="00C9078A">
              <w:rPr>
                <w:rFonts w:ascii="Times New Roman" w:eastAsia="Times New Roman" w:hAnsi="Times New Roman" w:cs="Times New Roman"/>
                <w:color w:val="000000"/>
                <w:sz w:val="18"/>
                <w:szCs w:val="18"/>
              </w:rPr>
              <w:t>.370</w:t>
            </w:r>
            <w:r w:rsidR="005F2FEF">
              <w:rPr>
                <w:rFonts w:ascii="Times New Roman" w:eastAsia="Times New Roman" w:hAnsi="Times New Roman" w:cs="Times New Roman"/>
                <w:color w:val="000000"/>
                <w:sz w:val="18"/>
                <w:szCs w:val="18"/>
                <w:vertAlign w:val="superscript"/>
              </w:rPr>
              <w:t>††</w:t>
            </w:r>
          </w:p>
        </w:tc>
        <w:tc>
          <w:tcPr>
            <w:tcW w:w="1440" w:type="dxa"/>
            <w:tcBorders>
              <w:top w:val="single" w:sz="12" w:space="0" w:color="000000"/>
              <w:left w:val="single" w:sz="8" w:space="0" w:color="000000"/>
              <w:bottom w:val="nil"/>
              <w:right w:val="single" w:sz="12" w:space="0" w:color="000000"/>
            </w:tcBorders>
            <w:shd w:val="solid" w:color="BFBFBF" w:themeColor="background1" w:themeShade="BF" w:fill="BFBFBF" w:themeFill="background1" w:themeFillShade="BF"/>
            <w:noWrap/>
            <w:hideMark/>
          </w:tcPr>
          <w:p w:rsidR="00487E68" w:rsidRPr="00C9078A" w:rsidRDefault="00487E68" w:rsidP="00A56745">
            <w:pPr>
              <w:spacing w:after="0" w:line="240" w:lineRule="auto"/>
              <w:jc w:val="right"/>
              <w:rPr>
                <w:rFonts w:ascii="Times New Roman" w:eastAsia="Times New Roman" w:hAnsi="Times New Roman" w:cs="Times New Roman"/>
                <w:color w:val="000000"/>
                <w:sz w:val="18"/>
                <w:szCs w:val="18"/>
              </w:rPr>
            </w:pPr>
            <w:r w:rsidRPr="00C9078A">
              <w:rPr>
                <w:rFonts w:ascii="Times New Roman" w:eastAsia="Times New Roman" w:hAnsi="Times New Roman" w:cs="Times New Roman"/>
                <w:color w:val="000000"/>
                <w:sz w:val="18"/>
                <w:szCs w:val="18"/>
              </w:rPr>
              <w:t>.294</w:t>
            </w:r>
            <w:r w:rsidR="005F2FEF">
              <w:rPr>
                <w:rFonts w:ascii="Times New Roman" w:eastAsia="Times New Roman" w:hAnsi="Times New Roman" w:cs="Times New Roman"/>
                <w:color w:val="000000"/>
                <w:sz w:val="18"/>
                <w:szCs w:val="18"/>
                <w:vertAlign w:val="superscript"/>
              </w:rPr>
              <w:t>††</w:t>
            </w:r>
          </w:p>
        </w:tc>
      </w:tr>
      <w:tr w:rsidR="00487E68" w:rsidRPr="00A56745" w:rsidTr="005F2FEF">
        <w:trPr>
          <w:trHeight w:val="480"/>
        </w:trPr>
        <w:tc>
          <w:tcPr>
            <w:tcW w:w="1371" w:type="dxa"/>
            <w:vMerge/>
            <w:tcBorders>
              <w:top w:val="nil"/>
              <w:left w:val="single" w:sz="12" w:space="0" w:color="000000"/>
              <w:bottom w:val="single" w:sz="12" w:space="0" w:color="000000"/>
              <w:right w:val="single" w:sz="4" w:space="0" w:color="auto"/>
            </w:tcBorders>
            <w:vAlign w:val="center"/>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p>
        </w:tc>
        <w:tc>
          <w:tcPr>
            <w:tcW w:w="1036" w:type="dxa"/>
            <w:tcBorders>
              <w:top w:val="nil"/>
              <w:left w:val="nil"/>
              <w:bottom w:val="nil"/>
              <w:right w:val="single" w:sz="12" w:space="0" w:color="000000"/>
            </w:tcBorders>
            <w:shd w:val="clear" w:color="auto" w:fill="auto"/>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Sig. (2-tailed)</w:t>
            </w:r>
          </w:p>
        </w:tc>
        <w:tc>
          <w:tcPr>
            <w:tcW w:w="1620" w:type="dxa"/>
            <w:tcBorders>
              <w:top w:val="nil"/>
              <w:left w:val="nil"/>
              <w:bottom w:val="nil"/>
              <w:right w:val="single" w:sz="4" w:space="0" w:color="000000"/>
            </w:tcBorders>
            <w:shd w:val="solid" w:color="BFBFBF" w:themeColor="background1" w:themeShade="BF" w:fill="A6A6A6" w:themeFill="background1" w:themeFillShade="A6"/>
            <w:noWrap/>
            <w:hideMark/>
          </w:tcPr>
          <w:p w:rsidR="00487E68" w:rsidRPr="00C9078A" w:rsidRDefault="00487E68" w:rsidP="00A56745">
            <w:pPr>
              <w:spacing w:after="0" w:line="240" w:lineRule="auto"/>
              <w:jc w:val="right"/>
              <w:rPr>
                <w:rFonts w:ascii="Times New Roman" w:eastAsia="Times New Roman" w:hAnsi="Times New Roman" w:cs="Times New Roman"/>
                <w:color w:val="000000"/>
                <w:sz w:val="18"/>
                <w:szCs w:val="18"/>
              </w:rPr>
            </w:pPr>
            <w:r w:rsidRPr="00C9078A">
              <w:rPr>
                <w:rFonts w:ascii="Times New Roman" w:eastAsia="Times New Roman" w:hAnsi="Times New Roman" w:cs="Times New Roman"/>
                <w:color w:val="000000"/>
                <w:sz w:val="18"/>
                <w:szCs w:val="18"/>
              </w:rPr>
              <w:t>.001</w:t>
            </w:r>
          </w:p>
        </w:tc>
        <w:tc>
          <w:tcPr>
            <w:tcW w:w="1440" w:type="dxa"/>
            <w:tcBorders>
              <w:top w:val="nil"/>
              <w:left w:val="nil"/>
              <w:bottom w:val="nil"/>
              <w:right w:val="single" w:sz="8" w:space="0" w:color="000000"/>
            </w:tcBorders>
            <w:shd w:val="solid" w:color="BFBFBF" w:themeColor="background1" w:themeShade="BF" w:fill="A6A6A6" w:themeFill="background1" w:themeFillShade="A6"/>
            <w:noWrap/>
            <w:hideMark/>
          </w:tcPr>
          <w:p w:rsidR="00487E68" w:rsidRPr="00C9078A" w:rsidRDefault="00487E68" w:rsidP="00A56745">
            <w:pPr>
              <w:spacing w:after="0" w:line="240" w:lineRule="auto"/>
              <w:jc w:val="right"/>
              <w:rPr>
                <w:rFonts w:ascii="Times New Roman" w:eastAsia="Times New Roman" w:hAnsi="Times New Roman" w:cs="Times New Roman"/>
                <w:color w:val="000000"/>
                <w:sz w:val="18"/>
                <w:szCs w:val="18"/>
              </w:rPr>
            </w:pPr>
            <w:r w:rsidRPr="00C9078A">
              <w:rPr>
                <w:rFonts w:ascii="Times New Roman" w:eastAsia="Times New Roman" w:hAnsi="Times New Roman" w:cs="Times New Roman"/>
                <w:color w:val="000000"/>
                <w:sz w:val="18"/>
                <w:szCs w:val="18"/>
              </w:rPr>
              <w:t>.000</w:t>
            </w:r>
          </w:p>
        </w:tc>
        <w:tc>
          <w:tcPr>
            <w:tcW w:w="1440" w:type="dxa"/>
            <w:tcBorders>
              <w:top w:val="nil"/>
              <w:left w:val="single" w:sz="8" w:space="0" w:color="000000"/>
              <w:bottom w:val="nil"/>
              <w:right w:val="single" w:sz="12" w:space="0" w:color="000000"/>
            </w:tcBorders>
            <w:shd w:val="solid" w:color="BFBFBF" w:themeColor="background1" w:themeShade="BF" w:fill="BFBFBF" w:themeFill="background1" w:themeFillShade="BF"/>
            <w:noWrap/>
            <w:hideMark/>
          </w:tcPr>
          <w:p w:rsidR="00487E68" w:rsidRPr="00C9078A" w:rsidRDefault="00487E68" w:rsidP="00A56745">
            <w:pPr>
              <w:spacing w:after="0" w:line="240" w:lineRule="auto"/>
              <w:jc w:val="right"/>
              <w:rPr>
                <w:rFonts w:ascii="Times New Roman" w:eastAsia="Times New Roman" w:hAnsi="Times New Roman" w:cs="Times New Roman"/>
                <w:color w:val="000000"/>
                <w:sz w:val="18"/>
                <w:szCs w:val="18"/>
              </w:rPr>
            </w:pPr>
            <w:r w:rsidRPr="00C9078A">
              <w:rPr>
                <w:rFonts w:ascii="Times New Roman" w:eastAsia="Times New Roman" w:hAnsi="Times New Roman" w:cs="Times New Roman"/>
                <w:color w:val="000000"/>
                <w:sz w:val="18"/>
                <w:szCs w:val="18"/>
              </w:rPr>
              <w:t>.003</w:t>
            </w:r>
          </w:p>
        </w:tc>
      </w:tr>
      <w:tr w:rsidR="00487E68" w:rsidRPr="00A56745" w:rsidTr="005F2FEF">
        <w:trPr>
          <w:trHeight w:val="315"/>
        </w:trPr>
        <w:tc>
          <w:tcPr>
            <w:tcW w:w="1371" w:type="dxa"/>
            <w:vMerge/>
            <w:tcBorders>
              <w:top w:val="nil"/>
              <w:left w:val="single" w:sz="12" w:space="0" w:color="000000"/>
              <w:bottom w:val="single" w:sz="12" w:space="0" w:color="000000"/>
              <w:right w:val="single" w:sz="4" w:space="0" w:color="auto"/>
            </w:tcBorders>
            <w:vAlign w:val="center"/>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p>
        </w:tc>
        <w:tc>
          <w:tcPr>
            <w:tcW w:w="1036" w:type="dxa"/>
            <w:tcBorders>
              <w:top w:val="nil"/>
              <w:left w:val="nil"/>
              <w:bottom w:val="single" w:sz="12" w:space="0" w:color="000000"/>
              <w:right w:val="single" w:sz="12" w:space="0" w:color="000000"/>
            </w:tcBorders>
            <w:shd w:val="clear" w:color="auto" w:fill="auto"/>
            <w:hideMark/>
          </w:tcPr>
          <w:p w:rsidR="00487E68" w:rsidRPr="00A56745" w:rsidRDefault="00487E68" w:rsidP="00A56745">
            <w:pPr>
              <w:spacing w:after="0" w:line="240" w:lineRule="auto"/>
              <w:rPr>
                <w:rFonts w:ascii="Times New Roman" w:eastAsia="Times New Roman" w:hAnsi="Times New Roman" w:cs="Times New Roman"/>
                <w:color w:val="000000"/>
                <w:sz w:val="18"/>
                <w:szCs w:val="18"/>
              </w:rPr>
            </w:pPr>
            <w:r w:rsidRPr="00A56745">
              <w:rPr>
                <w:rFonts w:ascii="Times New Roman" w:eastAsia="Times New Roman" w:hAnsi="Times New Roman" w:cs="Times New Roman"/>
                <w:color w:val="000000"/>
                <w:sz w:val="18"/>
                <w:szCs w:val="18"/>
              </w:rPr>
              <w:t>N</w:t>
            </w:r>
          </w:p>
        </w:tc>
        <w:tc>
          <w:tcPr>
            <w:tcW w:w="1620" w:type="dxa"/>
            <w:tcBorders>
              <w:top w:val="nil"/>
              <w:left w:val="nil"/>
              <w:bottom w:val="single" w:sz="12" w:space="0" w:color="000000"/>
              <w:right w:val="single" w:sz="4" w:space="0" w:color="000000"/>
            </w:tcBorders>
            <w:shd w:val="solid" w:color="BFBFBF" w:themeColor="background1" w:themeShade="BF" w:fill="A6A6A6" w:themeFill="background1" w:themeFillShade="A6"/>
            <w:noWrap/>
            <w:hideMark/>
          </w:tcPr>
          <w:p w:rsidR="00487E68" w:rsidRPr="00C9078A" w:rsidRDefault="00487E68" w:rsidP="00A56745">
            <w:pPr>
              <w:spacing w:after="0" w:line="240" w:lineRule="auto"/>
              <w:jc w:val="right"/>
              <w:rPr>
                <w:rFonts w:ascii="Times New Roman" w:eastAsia="Times New Roman" w:hAnsi="Times New Roman" w:cs="Times New Roman"/>
                <w:color w:val="000000"/>
                <w:sz w:val="18"/>
                <w:szCs w:val="18"/>
              </w:rPr>
            </w:pPr>
            <w:r w:rsidRPr="00C9078A">
              <w:rPr>
                <w:rFonts w:ascii="Times New Roman" w:eastAsia="Times New Roman" w:hAnsi="Times New Roman" w:cs="Times New Roman"/>
                <w:color w:val="000000"/>
                <w:sz w:val="18"/>
                <w:szCs w:val="18"/>
              </w:rPr>
              <w:t>98</w:t>
            </w:r>
          </w:p>
        </w:tc>
        <w:tc>
          <w:tcPr>
            <w:tcW w:w="1440" w:type="dxa"/>
            <w:tcBorders>
              <w:top w:val="nil"/>
              <w:left w:val="nil"/>
              <w:bottom w:val="single" w:sz="12" w:space="0" w:color="000000"/>
              <w:right w:val="single" w:sz="8" w:space="0" w:color="000000"/>
            </w:tcBorders>
            <w:shd w:val="solid" w:color="BFBFBF" w:themeColor="background1" w:themeShade="BF" w:fill="A6A6A6" w:themeFill="background1" w:themeFillShade="A6"/>
            <w:noWrap/>
            <w:hideMark/>
          </w:tcPr>
          <w:p w:rsidR="00487E68" w:rsidRPr="00C9078A" w:rsidRDefault="00487E68" w:rsidP="00A56745">
            <w:pPr>
              <w:spacing w:after="0" w:line="240" w:lineRule="auto"/>
              <w:jc w:val="right"/>
              <w:rPr>
                <w:rFonts w:ascii="Times New Roman" w:eastAsia="Times New Roman" w:hAnsi="Times New Roman" w:cs="Times New Roman"/>
                <w:color w:val="000000"/>
                <w:sz w:val="18"/>
                <w:szCs w:val="18"/>
              </w:rPr>
            </w:pPr>
            <w:r w:rsidRPr="00C9078A">
              <w:rPr>
                <w:rFonts w:ascii="Times New Roman" w:eastAsia="Times New Roman" w:hAnsi="Times New Roman" w:cs="Times New Roman"/>
                <w:color w:val="000000"/>
                <w:sz w:val="18"/>
                <w:szCs w:val="18"/>
              </w:rPr>
              <w:t>99</w:t>
            </w:r>
          </w:p>
        </w:tc>
        <w:tc>
          <w:tcPr>
            <w:tcW w:w="1440" w:type="dxa"/>
            <w:tcBorders>
              <w:top w:val="nil"/>
              <w:left w:val="single" w:sz="8" w:space="0" w:color="000000"/>
              <w:bottom w:val="single" w:sz="12" w:space="0" w:color="000000"/>
              <w:right w:val="single" w:sz="12" w:space="0" w:color="000000"/>
            </w:tcBorders>
            <w:shd w:val="solid" w:color="BFBFBF" w:themeColor="background1" w:themeShade="BF" w:fill="BFBFBF" w:themeFill="background1" w:themeFillShade="BF"/>
            <w:noWrap/>
            <w:hideMark/>
          </w:tcPr>
          <w:p w:rsidR="00487E68" w:rsidRPr="00C9078A" w:rsidRDefault="00487E68" w:rsidP="00A56745">
            <w:pPr>
              <w:spacing w:after="0" w:line="240" w:lineRule="auto"/>
              <w:jc w:val="right"/>
              <w:rPr>
                <w:rFonts w:ascii="Times New Roman" w:eastAsia="Times New Roman" w:hAnsi="Times New Roman" w:cs="Times New Roman"/>
                <w:color w:val="000000"/>
                <w:sz w:val="18"/>
                <w:szCs w:val="18"/>
              </w:rPr>
            </w:pPr>
            <w:r w:rsidRPr="00C9078A">
              <w:rPr>
                <w:rFonts w:ascii="Times New Roman" w:eastAsia="Times New Roman" w:hAnsi="Times New Roman" w:cs="Times New Roman"/>
                <w:color w:val="000000"/>
                <w:sz w:val="18"/>
                <w:szCs w:val="18"/>
              </w:rPr>
              <w:t>103</w:t>
            </w:r>
          </w:p>
        </w:tc>
      </w:tr>
    </w:tbl>
    <w:p w:rsidR="00A56745" w:rsidRDefault="005F2FEF" w:rsidP="00E46218">
      <w:pPr>
        <w:spacing w:line="48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87E68">
        <w:rPr>
          <w:rFonts w:ascii="Times New Roman" w:eastAsia="Times New Roman" w:hAnsi="Times New Roman" w:cs="Times New Roman"/>
          <w:sz w:val="18"/>
          <w:szCs w:val="18"/>
        </w:rPr>
        <w:t>Correlation is significant at the 0.05 level (2-tailed).</w:t>
      </w:r>
    </w:p>
    <w:p w:rsidR="00487E68" w:rsidRDefault="005F2FEF" w:rsidP="00E46218">
      <w:pPr>
        <w:spacing w:line="48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87E68">
        <w:rPr>
          <w:rFonts w:ascii="Times New Roman" w:eastAsia="Times New Roman" w:hAnsi="Times New Roman" w:cs="Times New Roman"/>
          <w:sz w:val="18"/>
          <w:szCs w:val="18"/>
        </w:rPr>
        <w:t>Correlation is significant at the 0.01 level (2-tailed).</w:t>
      </w:r>
    </w:p>
    <w:p w:rsidR="00E46218" w:rsidRDefault="00E46218" w:rsidP="00487E68">
      <w:pPr>
        <w:spacing w:line="240" w:lineRule="auto"/>
        <w:contextualSpacing/>
        <w:rPr>
          <w:rFonts w:ascii="Times New Roman" w:eastAsia="Times New Roman" w:hAnsi="Times New Roman" w:cs="Times New Roman"/>
          <w:sz w:val="18"/>
          <w:szCs w:val="18"/>
        </w:rPr>
      </w:pPr>
    </w:p>
    <w:p w:rsidR="00E46218" w:rsidRDefault="00E46218" w:rsidP="00487E68">
      <w:pPr>
        <w:spacing w:line="240" w:lineRule="auto"/>
        <w:contextualSpacing/>
        <w:rPr>
          <w:rFonts w:ascii="Times New Roman" w:eastAsia="Times New Roman" w:hAnsi="Times New Roman" w:cs="Times New Roman"/>
          <w:sz w:val="18"/>
          <w:szCs w:val="18"/>
        </w:rPr>
      </w:pPr>
    </w:p>
    <w:p w:rsidR="00E46218" w:rsidRDefault="00E46218" w:rsidP="00487E68">
      <w:pPr>
        <w:spacing w:line="240" w:lineRule="auto"/>
        <w:contextualSpacing/>
        <w:rPr>
          <w:rFonts w:ascii="Times New Roman" w:eastAsia="Times New Roman" w:hAnsi="Times New Roman" w:cs="Times New Roman"/>
          <w:sz w:val="18"/>
          <w:szCs w:val="18"/>
        </w:rPr>
      </w:pPr>
    </w:p>
    <w:p w:rsidR="00E46218" w:rsidRDefault="00E46218" w:rsidP="00487E68">
      <w:pPr>
        <w:spacing w:line="240" w:lineRule="auto"/>
        <w:contextualSpacing/>
        <w:rPr>
          <w:rFonts w:ascii="Times New Roman" w:eastAsia="Times New Roman" w:hAnsi="Times New Roman" w:cs="Times New Roman"/>
          <w:sz w:val="18"/>
          <w:szCs w:val="18"/>
        </w:rPr>
      </w:pPr>
    </w:p>
    <w:p w:rsidR="00E46218" w:rsidRDefault="00E46218" w:rsidP="00487E68">
      <w:pPr>
        <w:spacing w:line="240" w:lineRule="auto"/>
        <w:contextualSpacing/>
        <w:rPr>
          <w:rFonts w:ascii="Times New Roman" w:eastAsia="Times New Roman" w:hAnsi="Times New Roman" w:cs="Times New Roman"/>
          <w:sz w:val="18"/>
          <w:szCs w:val="18"/>
        </w:rPr>
      </w:pPr>
    </w:p>
    <w:p w:rsidR="00E46218" w:rsidRDefault="00E46218" w:rsidP="00487E68">
      <w:pPr>
        <w:spacing w:line="240" w:lineRule="auto"/>
        <w:contextualSpacing/>
        <w:rPr>
          <w:rFonts w:ascii="Times New Roman" w:eastAsia="Times New Roman" w:hAnsi="Times New Roman" w:cs="Times New Roman"/>
          <w:sz w:val="18"/>
          <w:szCs w:val="18"/>
        </w:rPr>
      </w:pPr>
    </w:p>
    <w:p w:rsidR="00E46218" w:rsidRDefault="00E46218" w:rsidP="00487E68">
      <w:pPr>
        <w:spacing w:line="240" w:lineRule="auto"/>
        <w:contextualSpacing/>
        <w:rPr>
          <w:rFonts w:ascii="Times New Roman" w:eastAsia="Times New Roman" w:hAnsi="Times New Roman" w:cs="Times New Roman"/>
          <w:sz w:val="18"/>
          <w:szCs w:val="18"/>
        </w:rPr>
      </w:pPr>
    </w:p>
    <w:p w:rsidR="00E46218" w:rsidRDefault="00E46218" w:rsidP="00487E68">
      <w:pPr>
        <w:spacing w:line="240" w:lineRule="auto"/>
        <w:contextualSpacing/>
        <w:rPr>
          <w:rFonts w:ascii="Times New Roman" w:eastAsia="Times New Roman" w:hAnsi="Times New Roman" w:cs="Times New Roman"/>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p w:rsidR="00E46218" w:rsidRDefault="00E46218" w:rsidP="005E4C12">
      <w:pPr>
        <w:spacing w:line="480" w:lineRule="auto"/>
        <w:contextualSpacing/>
        <w:rPr>
          <w:rFonts w:ascii="Times New Roman" w:eastAsia="Times New Roman" w:hAnsi="Times New Roman" w:cs="Times New Roman"/>
          <w:color w:val="FF0000"/>
          <w:sz w:val="18"/>
          <w:szCs w:val="18"/>
        </w:rPr>
      </w:pPr>
    </w:p>
    <w:sectPr w:rsidR="00E46218" w:rsidSect="00C9078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DC" w:rsidRDefault="00620CDC" w:rsidP="00A97B23">
      <w:pPr>
        <w:spacing w:after="0" w:line="240" w:lineRule="auto"/>
      </w:pPr>
      <w:r>
        <w:separator/>
      </w:r>
    </w:p>
  </w:endnote>
  <w:endnote w:type="continuationSeparator" w:id="0">
    <w:p w:rsidR="00620CDC" w:rsidRDefault="00620CDC" w:rsidP="00A9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DC" w:rsidRDefault="00620CDC" w:rsidP="00A97B23">
      <w:pPr>
        <w:spacing w:after="0" w:line="240" w:lineRule="auto"/>
      </w:pPr>
      <w:r>
        <w:separator/>
      </w:r>
    </w:p>
  </w:footnote>
  <w:footnote w:type="continuationSeparator" w:id="0">
    <w:p w:rsidR="00620CDC" w:rsidRDefault="00620CDC" w:rsidP="00A9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25780"/>
      <w:docPartObj>
        <w:docPartGallery w:val="Page Numbers (Top of Page)"/>
        <w:docPartUnique/>
      </w:docPartObj>
    </w:sdtPr>
    <w:sdtEndPr>
      <w:rPr>
        <w:rFonts w:ascii="Times New Roman" w:hAnsi="Times New Roman" w:cs="Times New Roman"/>
        <w:noProof/>
        <w:sz w:val="24"/>
      </w:rPr>
    </w:sdtEndPr>
    <w:sdtContent>
      <w:p w:rsidR="002D0E04" w:rsidRPr="00A97B23" w:rsidRDefault="002D0E04">
        <w:pPr>
          <w:pStyle w:val="Header"/>
          <w:jc w:val="right"/>
          <w:rPr>
            <w:rFonts w:ascii="Times New Roman" w:hAnsi="Times New Roman" w:cs="Times New Roman"/>
            <w:sz w:val="24"/>
          </w:rPr>
        </w:pPr>
        <w:r w:rsidRPr="00A97B23">
          <w:rPr>
            <w:rFonts w:ascii="Times New Roman" w:hAnsi="Times New Roman" w:cs="Times New Roman"/>
            <w:sz w:val="24"/>
          </w:rPr>
          <w:fldChar w:fldCharType="begin"/>
        </w:r>
        <w:r w:rsidRPr="00A97B23">
          <w:rPr>
            <w:rFonts w:ascii="Times New Roman" w:hAnsi="Times New Roman" w:cs="Times New Roman"/>
            <w:sz w:val="24"/>
          </w:rPr>
          <w:instrText xml:space="preserve"> PAGE   \* MERGEFORMAT </w:instrText>
        </w:r>
        <w:r w:rsidRPr="00A97B23">
          <w:rPr>
            <w:rFonts w:ascii="Times New Roman" w:hAnsi="Times New Roman" w:cs="Times New Roman"/>
            <w:sz w:val="24"/>
          </w:rPr>
          <w:fldChar w:fldCharType="separate"/>
        </w:r>
        <w:r w:rsidR="00A906A7">
          <w:rPr>
            <w:rFonts w:ascii="Times New Roman" w:hAnsi="Times New Roman" w:cs="Times New Roman"/>
            <w:noProof/>
            <w:sz w:val="24"/>
          </w:rPr>
          <w:t>1</w:t>
        </w:r>
        <w:r w:rsidRPr="00A97B23">
          <w:rPr>
            <w:rFonts w:ascii="Times New Roman" w:hAnsi="Times New Roman" w:cs="Times New Roman"/>
            <w:noProof/>
            <w:sz w:val="24"/>
          </w:rPr>
          <w:fldChar w:fldCharType="end"/>
        </w:r>
      </w:p>
    </w:sdtContent>
  </w:sdt>
  <w:p w:rsidR="002D0E04" w:rsidRDefault="002D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AD8"/>
    <w:multiLevelType w:val="hybridMultilevel"/>
    <w:tmpl w:val="62D86DA2"/>
    <w:lvl w:ilvl="0" w:tplc="7D72DAC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D5188"/>
    <w:multiLevelType w:val="hybridMultilevel"/>
    <w:tmpl w:val="56EC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83CE8"/>
    <w:multiLevelType w:val="hybridMultilevel"/>
    <w:tmpl w:val="7248AD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663E8"/>
    <w:multiLevelType w:val="hybridMultilevel"/>
    <w:tmpl w:val="142C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72AB7"/>
    <w:multiLevelType w:val="hybridMultilevel"/>
    <w:tmpl w:val="7C4289A4"/>
    <w:lvl w:ilvl="0" w:tplc="79B21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17"/>
    <w:rsid w:val="00016D38"/>
    <w:rsid w:val="00020A8D"/>
    <w:rsid w:val="00021D44"/>
    <w:rsid w:val="00034096"/>
    <w:rsid w:val="00051CA9"/>
    <w:rsid w:val="0006252E"/>
    <w:rsid w:val="00081444"/>
    <w:rsid w:val="0008168B"/>
    <w:rsid w:val="00082D28"/>
    <w:rsid w:val="000878AD"/>
    <w:rsid w:val="000955AF"/>
    <w:rsid w:val="00096031"/>
    <w:rsid w:val="000B28AC"/>
    <w:rsid w:val="000D1C9D"/>
    <w:rsid w:val="000D2F9E"/>
    <w:rsid w:val="000D4CF1"/>
    <w:rsid w:val="000E70A0"/>
    <w:rsid w:val="000F1E24"/>
    <w:rsid w:val="000F7B4C"/>
    <w:rsid w:val="001028DF"/>
    <w:rsid w:val="00124841"/>
    <w:rsid w:val="001264D5"/>
    <w:rsid w:val="0013025C"/>
    <w:rsid w:val="00147524"/>
    <w:rsid w:val="00151957"/>
    <w:rsid w:val="001606E7"/>
    <w:rsid w:val="00162991"/>
    <w:rsid w:val="0018472E"/>
    <w:rsid w:val="001948B5"/>
    <w:rsid w:val="001A283D"/>
    <w:rsid w:val="001A395A"/>
    <w:rsid w:val="001A7569"/>
    <w:rsid w:val="001D29F8"/>
    <w:rsid w:val="001E537E"/>
    <w:rsid w:val="001F49DA"/>
    <w:rsid w:val="001F76D6"/>
    <w:rsid w:val="001F789A"/>
    <w:rsid w:val="002028E3"/>
    <w:rsid w:val="0020769B"/>
    <w:rsid w:val="00221744"/>
    <w:rsid w:val="0022510E"/>
    <w:rsid w:val="00232ED1"/>
    <w:rsid w:val="002446D3"/>
    <w:rsid w:val="00244BE7"/>
    <w:rsid w:val="00260294"/>
    <w:rsid w:val="00272B45"/>
    <w:rsid w:val="0028455B"/>
    <w:rsid w:val="002B43AD"/>
    <w:rsid w:val="002B5507"/>
    <w:rsid w:val="002B7573"/>
    <w:rsid w:val="002D0E04"/>
    <w:rsid w:val="002D7217"/>
    <w:rsid w:val="002E7CA8"/>
    <w:rsid w:val="00300798"/>
    <w:rsid w:val="00302663"/>
    <w:rsid w:val="003110A9"/>
    <w:rsid w:val="00314145"/>
    <w:rsid w:val="00320445"/>
    <w:rsid w:val="00323CF8"/>
    <w:rsid w:val="00323F4D"/>
    <w:rsid w:val="00330B65"/>
    <w:rsid w:val="003522E0"/>
    <w:rsid w:val="00356CFC"/>
    <w:rsid w:val="00361C9F"/>
    <w:rsid w:val="0038034F"/>
    <w:rsid w:val="003869D7"/>
    <w:rsid w:val="003B492A"/>
    <w:rsid w:val="003B7E24"/>
    <w:rsid w:val="003C2C71"/>
    <w:rsid w:val="003C3AE1"/>
    <w:rsid w:val="003D53E3"/>
    <w:rsid w:val="00416A0F"/>
    <w:rsid w:val="00421B68"/>
    <w:rsid w:val="00425A77"/>
    <w:rsid w:val="00426E46"/>
    <w:rsid w:val="004834A8"/>
    <w:rsid w:val="00487E68"/>
    <w:rsid w:val="004935EB"/>
    <w:rsid w:val="004A6C41"/>
    <w:rsid w:val="004A7E86"/>
    <w:rsid w:val="004B620D"/>
    <w:rsid w:val="004C4886"/>
    <w:rsid w:val="004C5170"/>
    <w:rsid w:val="004C6E3E"/>
    <w:rsid w:val="004E1583"/>
    <w:rsid w:val="004E1C88"/>
    <w:rsid w:val="004E4C08"/>
    <w:rsid w:val="004E5934"/>
    <w:rsid w:val="004F6BAB"/>
    <w:rsid w:val="004F797E"/>
    <w:rsid w:val="00500750"/>
    <w:rsid w:val="00503E2E"/>
    <w:rsid w:val="00517252"/>
    <w:rsid w:val="0053057C"/>
    <w:rsid w:val="00547984"/>
    <w:rsid w:val="00557229"/>
    <w:rsid w:val="005607C2"/>
    <w:rsid w:val="005934FB"/>
    <w:rsid w:val="00596F60"/>
    <w:rsid w:val="005B23F1"/>
    <w:rsid w:val="005B61BF"/>
    <w:rsid w:val="005D224A"/>
    <w:rsid w:val="005E003D"/>
    <w:rsid w:val="005E1C29"/>
    <w:rsid w:val="005E304E"/>
    <w:rsid w:val="005E4C12"/>
    <w:rsid w:val="005F2FEF"/>
    <w:rsid w:val="006148B8"/>
    <w:rsid w:val="00614DFD"/>
    <w:rsid w:val="00620CDC"/>
    <w:rsid w:val="006353E1"/>
    <w:rsid w:val="006358EB"/>
    <w:rsid w:val="0065116E"/>
    <w:rsid w:val="006545A2"/>
    <w:rsid w:val="00656350"/>
    <w:rsid w:val="00664675"/>
    <w:rsid w:val="00670B65"/>
    <w:rsid w:val="00672E52"/>
    <w:rsid w:val="006A3349"/>
    <w:rsid w:val="006A6694"/>
    <w:rsid w:val="006B0266"/>
    <w:rsid w:val="006C19AE"/>
    <w:rsid w:val="006D3679"/>
    <w:rsid w:val="006E3B45"/>
    <w:rsid w:val="006F5A03"/>
    <w:rsid w:val="00704DA2"/>
    <w:rsid w:val="00712521"/>
    <w:rsid w:val="00730096"/>
    <w:rsid w:val="00751811"/>
    <w:rsid w:val="00762F5D"/>
    <w:rsid w:val="007704E3"/>
    <w:rsid w:val="007750B9"/>
    <w:rsid w:val="00777388"/>
    <w:rsid w:val="007853B0"/>
    <w:rsid w:val="00786F91"/>
    <w:rsid w:val="007878FD"/>
    <w:rsid w:val="00790988"/>
    <w:rsid w:val="007A0F4F"/>
    <w:rsid w:val="007B17DB"/>
    <w:rsid w:val="007B20D8"/>
    <w:rsid w:val="007B313B"/>
    <w:rsid w:val="007B4E1C"/>
    <w:rsid w:val="007C1405"/>
    <w:rsid w:val="007D5D07"/>
    <w:rsid w:val="007D7080"/>
    <w:rsid w:val="00803A28"/>
    <w:rsid w:val="00803DF2"/>
    <w:rsid w:val="00805987"/>
    <w:rsid w:val="008108B9"/>
    <w:rsid w:val="008120F2"/>
    <w:rsid w:val="008240FD"/>
    <w:rsid w:val="00826539"/>
    <w:rsid w:val="00831001"/>
    <w:rsid w:val="00831D45"/>
    <w:rsid w:val="00843F23"/>
    <w:rsid w:val="00861055"/>
    <w:rsid w:val="008625C6"/>
    <w:rsid w:val="008702E0"/>
    <w:rsid w:val="008749EB"/>
    <w:rsid w:val="008800CD"/>
    <w:rsid w:val="00886619"/>
    <w:rsid w:val="0089544D"/>
    <w:rsid w:val="00895AB3"/>
    <w:rsid w:val="008C043D"/>
    <w:rsid w:val="008C1387"/>
    <w:rsid w:val="008D1235"/>
    <w:rsid w:val="008D3A90"/>
    <w:rsid w:val="008E3739"/>
    <w:rsid w:val="008F1B17"/>
    <w:rsid w:val="008F35FA"/>
    <w:rsid w:val="00907F7B"/>
    <w:rsid w:val="009111C1"/>
    <w:rsid w:val="00934321"/>
    <w:rsid w:val="00965FC7"/>
    <w:rsid w:val="009664EA"/>
    <w:rsid w:val="009778EE"/>
    <w:rsid w:val="00991584"/>
    <w:rsid w:val="0099234C"/>
    <w:rsid w:val="009930BF"/>
    <w:rsid w:val="009A37AC"/>
    <w:rsid w:val="009E29C7"/>
    <w:rsid w:val="009F4619"/>
    <w:rsid w:val="00A03008"/>
    <w:rsid w:val="00A04940"/>
    <w:rsid w:val="00A218E5"/>
    <w:rsid w:val="00A219A6"/>
    <w:rsid w:val="00A510EA"/>
    <w:rsid w:val="00A56745"/>
    <w:rsid w:val="00A6398C"/>
    <w:rsid w:val="00A63B25"/>
    <w:rsid w:val="00A864B4"/>
    <w:rsid w:val="00A903B6"/>
    <w:rsid w:val="00A906A7"/>
    <w:rsid w:val="00A911C9"/>
    <w:rsid w:val="00A92D08"/>
    <w:rsid w:val="00A97B23"/>
    <w:rsid w:val="00AA566A"/>
    <w:rsid w:val="00AB3003"/>
    <w:rsid w:val="00AC3A01"/>
    <w:rsid w:val="00AE289D"/>
    <w:rsid w:val="00AE7B36"/>
    <w:rsid w:val="00AF2515"/>
    <w:rsid w:val="00AF35A3"/>
    <w:rsid w:val="00AF3DDF"/>
    <w:rsid w:val="00AF5E8A"/>
    <w:rsid w:val="00B201ED"/>
    <w:rsid w:val="00B37D8D"/>
    <w:rsid w:val="00B4066F"/>
    <w:rsid w:val="00B47C9C"/>
    <w:rsid w:val="00B564B4"/>
    <w:rsid w:val="00B5791B"/>
    <w:rsid w:val="00B71804"/>
    <w:rsid w:val="00B75AA3"/>
    <w:rsid w:val="00B84849"/>
    <w:rsid w:val="00B8688C"/>
    <w:rsid w:val="00B87656"/>
    <w:rsid w:val="00B959F5"/>
    <w:rsid w:val="00B965E4"/>
    <w:rsid w:val="00BA7621"/>
    <w:rsid w:val="00BC306D"/>
    <w:rsid w:val="00BD5C9F"/>
    <w:rsid w:val="00BF4CC7"/>
    <w:rsid w:val="00BF792C"/>
    <w:rsid w:val="00C0215D"/>
    <w:rsid w:val="00C13D2A"/>
    <w:rsid w:val="00C15BE9"/>
    <w:rsid w:val="00C1604D"/>
    <w:rsid w:val="00C200F9"/>
    <w:rsid w:val="00C238F3"/>
    <w:rsid w:val="00C32599"/>
    <w:rsid w:val="00C358FF"/>
    <w:rsid w:val="00C45610"/>
    <w:rsid w:val="00C60BBF"/>
    <w:rsid w:val="00C6374F"/>
    <w:rsid w:val="00C8168A"/>
    <w:rsid w:val="00C85E67"/>
    <w:rsid w:val="00C9078A"/>
    <w:rsid w:val="00C971B6"/>
    <w:rsid w:val="00CB70C2"/>
    <w:rsid w:val="00CE5DF5"/>
    <w:rsid w:val="00CE7F72"/>
    <w:rsid w:val="00CF44EF"/>
    <w:rsid w:val="00CF67AF"/>
    <w:rsid w:val="00D07F92"/>
    <w:rsid w:val="00D111DE"/>
    <w:rsid w:val="00D23D84"/>
    <w:rsid w:val="00D3412C"/>
    <w:rsid w:val="00D40BA6"/>
    <w:rsid w:val="00D42311"/>
    <w:rsid w:val="00D43EC3"/>
    <w:rsid w:val="00D46B26"/>
    <w:rsid w:val="00D550D3"/>
    <w:rsid w:val="00D5539E"/>
    <w:rsid w:val="00D561F4"/>
    <w:rsid w:val="00D70CD6"/>
    <w:rsid w:val="00D777D6"/>
    <w:rsid w:val="00D97839"/>
    <w:rsid w:val="00DA522F"/>
    <w:rsid w:val="00DC1D1F"/>
    <w:rsid w:val="00DC2951"/>
    <w:rsid w:val="00DD3FCC"/>
    <w:rsid w:val="00DE204E"/>
    <w:rsid w:val="00DE612C"/>
    <w:rsid w:val="00DE7ABC"/>
    <w:rsid w:val="00DF0FDE"/>
    <w:rsid w:val="00DF3239"/>
    <w:rsid w:val="00DF4360"/>
    <w:rsid w:val="00E02A3B"/>
    <w:rsid w:val="00E12825"/>
    <w:rsid w:val="00E22321"/>
    <w:rsid w:val="00E33DCA"/>
    <w:rsid w:val="00E46218"/>
    <w:rsid w:val="00E530D2"/>
    <w:rsid w:val="00E546C3"/>
    <w:rsid w:val="00E56590"/>
    <w:rsid w:val="00E63DEB"/>
    <w:rsid w:val="00E77D4B"/>
    <w:rsid w:val="00E80CE4"/>
    <w:rsid w:val="00E8492B"/>
    <w:rsid w:val="00EA5B37"/>
    <w:rsid w:val="00EA5CFD"/>
    <w:rsid w:val="00EB4296"/>
    <w:rsid w:val="00EB58C2"/>
    <w:rsid w:val="00ED317C"/>
    <w:rsid w:val="00ED4B6F"/>
    <w:rsid w:val="00EF4FEB"/>
    <w:rsid w:val="00EF596C"/>
    <w:rsid w:val="00EF6D21"/>
    <w:rsid w:val="00F03B53"/>
    <w:rsid w:val="00F1398B"/>
    <w:rsid w:val="00F20092"/>
    <w:rsid w:val="00F403F8"/>
    <w:rsid w:val="00F516B1"/>
    <w:rsid w:val="00F51705"/>
    <w:rsid w:val="00F7019C"/>
    <w:rsid w:val="00F74785"/>
    <w:rsid w:val="00F875FE"/>
    <w:rsid w:val="00FA2877"/>
    <w:rsid w:val="00FA32E7"/>
    <w:rsid w:val="00FC7E46"/>
    <w:rsid w:val="00FD1500"/>
    <w:rsid w:val="00FD3950"/>
    <w:rsid w:val="00FD7411"/>
    <w:rsid w:val="00FE5B17"/>
    <w:rsid w:val="00FF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217"/>
    <w:rPr>
      <w:color w:val="0000FF" w:themeColor="hyperlink"/>
      <w:u w:val="single"/>
    </w:rPr>
  </w:style>
  <w:style w:type="character" w:styleId="CommentReference">
    <w:name w:val="annotation reference"/>
    <w:basedOn w:val="DefaultParagraphFont"/>
    <w:uiPriority w:val="99"/>
    <w:semiHidden/>
    <w:unhideWhenUsed/>
    <w:rsid w:val="00221744"/>
    <w:rPr>
      <w:sz w:val="16"/>
      <w:szCs w:val="16"/>
    </w:rPr>
  </w:style>
  <w:style w:type="paragraph" w:styleId="CommentText">
    <w:name w:val="annotation text"/>
    <w:basedOn w:val="Normal"/>
    <w:link w:val="CommentTextChar"/>
    <w:uiPriority w:val="99"/>
    <w:semiHidden/>
    <w:unhideWhenUsed/>
    <w:rsid w:val="00221744"/>
    <w:pPr>
      <w:spacing w:line="240" w:lineRule="auto"/>
    </w:pPr>
    <w:rPr>
      <w:sz w:val="20"/>
      <w:szCs w:val="20"/>
    </w:rPr>
  </w:style>
  <w:style w:type="character" w:customStyle="1" w:styleId="CommentTextChar">
    <w:name w:val="Comment Text Char"/>
    <w:basedOn w:val="DefaultParagraphFont"/>
    <w:link w:val="CommentText"/>
    <w:uiPriority w:val="99"/>
    <w:semiHidden/>
    <w:rsid w:val="00221744"/>
    <w:rPr>
      <w:sz w:val="20"/>
      <w:szCs w:val="20"/>
    </w:rPr>
  </w:style>
  <w:style w:type="paragraph" w:styleId="BalloonText">
    <w:name w:val="Balloon Text"/>
    <w:basedOn w:val="Normal"/>
    <w:link w:val="BalloonTextChar"/>
    <w:uiPriority w:val="99"/>
    <w:semiHidden/>
    <w:unhideWhenUsed/>
    <w:rsid w:val="0022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4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800CD"/>
    <w:rPr>
      <w:b/>
      <w:bCs/>
    </w:rPr>
  </w:style>
  <w:style w:type="character" w:customStyle="1" w:styleId="CommentSubjectChar">
    <w:name w:val="Comment Subject Char"/>
    <w:basedOn w:val="CommentTextChar"/>
    <w:link w:val="CommentSubject"/>
    <w:uiPriority w:val="99"/>
    <w:semiHidden/>
    <w:rsid w:val="008800CD"/>
    <w:rPr>
      <w:b/>
      <w:bCs/>
      <w:sz w:val="20"/>
      <w:szCs w:val="20"/>
    </w:rPr>
  </w:style>
  <w:style w:type="table" w:styleId="TableGrid">
    <w:name w:val="Table Grid"/>
    <w:basedOn w:val="TableNormal"/>
    <w:uiPriority w:val="59"/>
    <w:rsid w:val="005E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7E46"/>
    <w:pPr>
      <w:ind w:left="720"/>
      <w:contextualSpacing/>
    </w:pPr>
  </w:style>
  <w:style w:type="paragraph" w:styleId="Header">
    <w:name w:val="header"/>
    <w:basedOn w:val="Normal"/>
    <w:link w:val="HeaderChar"/>
    <w:uiPriority w:val="99"/>
    <w:unhideWhenUsed/>
    <w:rsid w:val="00A9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B23"/>
  </w:style>
  <w:style w:type="paragraph" w:styleId="Footer">
    <w:name w:val="footer"/>
    <w:basedOn w:val="Normal"/>
    <w:link w:val="FooterChar"/>
    <w:uiPriority w:val="99"/>
    <w:unhideWhenUsed/>
    <w:rsid w:val="00A97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B23"/>
  </w:style>
  <w:style w:type="character" w:styleId="FollowedHyperlink">
    <w:name w:val="FollowedHyperlink"/>
    <w:basedOn w:val="DefaultParagraphFont"/>
    <w:uiPriority w:val="99"/>
    <w:semiHidden/>
    <w:unhideWhenUsed/>
    <w:rsid w:val="000D2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217"/>
    <w:rPr>
      <w:color w:val="0000FF" w:themeColor="hyperlink"/>
      <w:u w:val="single"/>
    </w:rPr>
  </w:style>
  <w:style w:type="character" w:styleId="CommentReference">
    <w:name w:val="annotation reference"/>
    <w:basedOn w:val="DefaultParagraphFont"/>
    <w:uiPriority w:val="99"/>
    <w:semiHidden/>
    <w:unhideWhenUsed/>
    <w:rsid w:val="00221744"/>
    <w:rPr>
      <w:sz w:val="16"/>
      <w:szCs w:val="16"/>
    </w:rPr>
  </w:style>
  <w:style w:type="paragraph" w:styleId="CommentText">
    <w:name w:val="annotation text"/>
    <w:basedOn w:val="Normal"/>
    <w:link w:val="CommentTextChar"/>
    <w:uiPriority w:val="99"/>
    <w:semiHidden/>
    <w:unhideWhenUsed/>
    <w:rsid w:val="00221744"/>
    <w:pPr>
      <w:spacing w:line="240" w:lineRule="auto"/>
    </w:pPr>
    <w:rPr>
      <w:sz w:val="20"/>
      <w:szCs w:val="20"/>
    </w:rPr>
  </w:style>
  <w:style w:type="character" w:customStyle="1" w:styleId="CommentTextChar">
    <w:name w:val="Comment Text Char"/>
    <w:basedOn w:val="DefaultParagraphFont"/>
    <w:link w:val="CommentText"/>
    <w:uiPriority w:val="99"/>
    <w:semiHidden/>
    <w:rsid w:val="00221744"/>
    <w:rPr>
      <w:sz w:val="20"/>
      <w:szCs w:val="20"/>
    </w:rPr>
  </w:style>
  <w:style w:type="paragraph" w:styleId="BalloonText">
    <w:name w:val="Balloon Text"/>
    <w:basedOn w:val="Normal"/>
    <w:link w:val="BalloonTextChar"/>
    <w:uiPriority w:val="99"/>
    <w:semiHidden/>
    <w:unhideWhenUsed/>
    <w:rsid w:val="0022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4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800CD"/>
    <w:rPr>
      <w:b/>
      <w:bCs/>
    </w:rPr>
  </w:style>
  <w:style w:type="character" w:customStyle="1" w:styleId="CommentSubjectChar">
    <w:name w:val="Comment Subject Char"/>
    <w:basedOn w:val="CommentTextChar"/>
    <w:link w:val="CommentSubject"/>
    <w:uiPriority w:val="99"/>
    <w:semiHidden/>
    <w:rsid w:val="008800CD"/>
    <w:rPr>
      <w:b/>
      <w:bCs/>
      <w:sz w:val="20"/>
      <w:szCs w:val="20"/>
    </w:rPr>
  </w:style>
  <w:style w:type="table" w:styleId="TableGrid">
    <w:name w:val="Table Grid"/>
    <w:basedOn w:val="TableNormal"/>
    <w:uiPriority w:val="59"/>
    <w:rsid w:val="005E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7E46"/>
    <w:pPr>
      <w:ind w:left="720"/>
      <w:contextualSpacing/>
    </w:pPr>
  </w:style>
  <w:style w:type="paragraph" w:styleId="Header">
    <w:name w:val="header"/>
    <w:basedOn w:val="Normal"/>
    <w:link w:val="HeaderChar"/>
    <w:uiPriority w:val="99"/>
    <w:unhideWhenUsed/>
    <w:rsid w:val="00A9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B23"/>
  </w:style>
  <w:style w:type="paragraph" w:styleId="Footer">
    <w:name w:val="footer"/>
    <w:basedOn w:val="Normal"/>
    <w:link w:val="FooterChar"/>
    <w:uiPriority w:val="99"/>
    <w:unhideWhenUsed/>
    <w:rsid w:val="00A97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B23"/>
  </w:style>
  <w:style w:type="character" w:styleId="FollowedHyperlink">
    <w:name w:val="FollowedHyperlink"/>
    <w:basedOn w:val="DefaultParagraphFont"/>
    <w:uiPriority w:val="99"/>
    <w:semiHidden/>
    <w:unhideWhenUsed/>
    <w:rsid w:val="000D2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53820">
      <w:bodyDiv w:val="1"/>
      <w:marLeft w:val="0"/>
      <w:marRight w:val="0"/>
      <w:marTop w:val="0"/>
      <w:marBottom w:val="0"/>
      <w:divBdr>
        <w:top w:val="none" w:sz="0" w:space="0" w:color="auto"/>
        <w:left w:val="none" w:sz="0" w:space="0" w:color="auto"/>
        <w:bottom w:val="none" w:sz="0" w:space="0" w:color="auto"/>
        <w:right w:val="none" w:sz="0" w:space="0" w:color="auto"/>
      </w:divBdr>
    </w:div>
    <w:div w:id="1818455697">
      <w:bodyDiv w:val="1"/>
      <w:marLeft w:val="0"/>
      <w:marRight w:val="0"/>
      <w:marTop w:val="0"/>
      <w:marBottom w:val="0"/>
      <w:divBdr>
        <w:top w:val="none" w:sz="0" w:space="0" w:color="auto"/>
        <w:left w:val="none" w:sz="0" w:space="0" w:color="auto"/>
        <w:bottom w:val="none" w:sz="0" w:space="0" w:color="auto"/>
        <w:right w:val="none" w:sz="0" w:space="0" w:color="auto"/>
      </w:divBdr>
    </w:div>
    <w:div w:id="1875262639">
      <w:bodyDiv w:val="1"/>
      <w:marLeft w:val="0"/>
      <w:marRight w:val="0"/>
      <w:marTop w:val="0"/>
      <w:marBottom w:val="0"/>
      <w:divBdr>
        <w:top w:val="none" w:sz="0" w:space="0" w:color="auto"/>
        <w:left w:val="none" w:sz="0" w:space="0" w:color="auto"/>
        <w:bottom w:val="none" w:sz="0" w:space="0" w:color="auto"/>
        <w:right w:val="none" w:sz="0" w:space="0" w:color="auto"/>
      </w:divBdr>
    </w:div>
    <w:div w:id="1985041833">
      <w:bodyDiv w:val="1"/>
      <w:marLeft w:val="0"/>
      <w:marRight w:val="0"/>
      <w:marTop w:val="0"/>
      <w:marBottom w:val="0"/>
      <w:divBdr>
        <w:top w:val="none" w:sz="0" w:space="0" w:color="auto"/>
        <w:left w:val="none" w:sz="0" w:space="0" w:color="auto"/>
        <w:bottom w:val="none" w:sz="0" w:space="0" w:color="auto"/>
        <w:right w:val="none" w:sz="0" w:space="0" w:color="auto"/>
      </w:divBdr>
    </w:div>
    <w:div w:id="2008096503">
      <w:bodyDiv w:val="1"/>
      <w:marLeft w:val="0"/>
      <w:marRight w:val="0"/>
      <w:marTop w:val="0"/>
      <w:marBottom w:val="0"/>
      <w:divBdr>
        <w:top w:val="none" w:sz="0" w:space="0" w:color="auto"/>
        <w:left w:val="none" w:sz="0" w:space="0" w:color="auto"/>
        <w:bottom w:val="none" w:sz="0" w:space="0" w:color="auto"/>
        <w:right w:val="none" w:sz="0" w:space="0" w:color="auto"/>
      </w:divBdr>
    </w:div>
    <w:div w:id="20489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v/pla/files/2011_ISDB(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baccofreekids.org/facts_issues/toll_us/indi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OralHealth/topics/periodontal_disease.htm"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perio.org/consumer/silent_disease" TargetMode="External"/><Relationship Id="rId4" Type="http://schemas.microsoft.com/office/2007/relationships/stylesWithEffects" Target="stylesWithEffects.xml"/><Relationship Id="rId9" Type="http://schemas.openxmlformats.org/officeDocument/2006/relationships/hyperlink" Target="mailto:stephanc@ipfw.ed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Frequency</a:t>
            </a:r>
            <a:r>
              <a:rPr lang="en-US" baseline="0"/>
              <a:t> of Assessment Procedrues</a:t>
            </a:r>
            <a:endParaRPr lang="en-US"/>
          </a:p>
        </c:rich>
      </c:tx>
      <c:overlay val="0"/>
    </c:title>
    <c:autoTitleDeleted val="0"/>
    <c:plotArea>
      <c:layout/>
      <c:barChart>
        <c:barDir val="col"/>
        <c:grouping val="stacked"/>
        <c:varyColors val="0"/>
        <c:ser>
          <c:idx val="0"/>
          <c:order val="0"/>
          <c:tx>
            <c:strRef>
              <c:f>Sheet1!$B$1</c:f>
              <c:strCache>
                <c:ptCount val="1"/>
                <c:pt idx="0">
                  <c:v>Never/Rarely/ Occasionally</c:v>
                </c:pt>
              </c:strCache>
            </c:strRef>
          </c:tx>
          <c:invertIfNegative val="0"/>
          <c:cat>
            <c:strRef>
              <c:f>Sheet1!$A$2:$A$10</c:f>
              <c:strCache>
                <c:ptCount val="9"/>
                <c:pt idx="0">
                  <c:v>Take Radiographs</c:v>
                </c:pt>
                <c:pt idx="1">
                  <c:v>Perform Perio Probing</c:v>
                </c:pt>
                <c:pt idx="2">
                  <c:v>Evaluate &amp; record CAL</c:v>
                </c:pt>
                <c:pt idx="3">
                  <c:v>Evaluate recession</c:v>
                </c:pt>
                <c:pt idx="4">
                  <c:v>Perfrm extra/intraoral evals</c:v>
                </c:pt>
                <c:pt idx="5">
                  <c:v>Perform occlusal eval</c:v>
                </c:pt>
                <c:pt idx="6">
                  <c:v>Assess presence, deg, &amp; dist of plaque and calc</c:v>
                </c:pt>
                <c:pt idx="7">
                  <c:v>Assess gingival inflam</c:v>
                </c:pt>
                <c:pt idx="8">
                  <c:v>Probe six sites per tooth</c:v>
                </c:pt>
              </c:strCache>
            </c:strRef>
          </c:cat>
          <c:val>
            <c:numRef>
              <c:f>Sheet1!$B$2:$B$10</c:f>
              <c:numCache>
                <c:formatCode>0.0%</c:formatCode>
                <c:ptCount val="9"/>
                <c:pt idx="0">
                  <c:v>0.109</c:v>
                </c:pt>
                <c:pt idx="1">
                  <c:v>9.9000000000000005E-2</c:v>
                </c:pt>
                <c:pt idx="2">
                  <c:v>0.33600000000000002</c:v>
                </c:pt>
                <c:pt idx="3">
                  <c:v>0.17299999999999999</c:v>
                </c:pt>
                <c:pt idx="4">
                  <c:v>0.14699999999999999</c:v>
                </c:pt>
                <c:pt idx="5">
                  <c:v>0.51400000000000001</c:v>
                </c:pt>
                <c:pt idx="6">
                  <c:v>6.4000000000000001E-2</c:v>
                </c:pt>
                <c:pt idx="7">
                  <c:v>2.8000000000000001E-2</c:v>
                </c:pt>
                <c:pt idx="8">
                  <c:v>8.4000000000000005E-2</c:v>
                </c:pt>
              </c:numCache>
            </c:numRef>
          </c:val>
        </c:ser>
        <c:ser>
          <c:idx val="1"/>
          <c:order val="1"/>
          <c:tx>
            <c:strRef>
              <c:f>Sheet1!$C$1</c:f>
              <c:strCache>
                <c:ptCount val="1"/>
                <c:pt idx="0">
                  <c:v>Frequently/Always</c:v>
                </c:pt>
              </c:strCache>
            </c:strRef>
          </c:tx>
          <c:invertIfNegative val="0"/>
          <c:cat>
            <c:strRef>
              <c:f>Sheet1!$A$2:$A$10</c:f>
              <c:strCache>
                <c:ptCount val="9"/>
                <c:pt idx="0">
                  <c:v>Take Radiographs</c:v>
                </c:pt>
                <c:pt idx="1">
                  <c:v>Perform Perio Probing</c:v>
                </c:pt>
                <c:pt idx="2">
                  <c:v>Evaluate &amp; record CAL</c:v>
                </c:pt>
                <c:pt idx="3">
                  <c:v>Evaluate recession</c:v>
                </c:pt>
                <c:pt idx="4">
                  <c:v>Perfrm extra/intraoral evals</c:v>
                </c:pt>
                <c:pt idx="5">
                  <c:v>Perform occlusal eval</c:v>
                </c:pt>
                <c:pt idx="6">
                  <c:v>Assess presence, deg, &amp; dist of plaque and calc</c:v>
                </c:pt>
                <c:pt idx="7">
                  <c:v>Assess gingival inflam</c:v>
                </c:pt>
                <c:pt idx="8">
                  <c:v>Probe six sites per tooth</c:v>
                </c:pt>
              </c:strCache>
            </c:strRef>
          </c:cat>
          <c:val>
            <c:numRef>
              <c:f>Sheet1!$C$2:$C$10</c:f>
              <c:numCache>
                <c:formatCode>0.0%</c:formatCode>
                <c:ptCount val="9"/>
                <c:pt idx="0">
                  <c:v>0.89100000000000001</c:v>
                </c:pt>
                <c:pt idx="1">
                  <c:v>0.90100000000000002</c:v>
                </c:pt>
                <c:pt idx="2">
                  <c:v>0.66400000000000003</c:v>
                </c:pt>
                <c:pt idx="3">
                  <c:v>0.82699999999999996</c:v>
                </c:pt>
                <c:pt idx="4">
                  <c:v>0.85299999999999998</c:v>
                </c:pt>
                <c:pt idx="5">
                  <c:v>0.48599999999999999</c:v>
                </c:pt>
                <c:pt idx="6">
                  <c:v>0.93600000000000005</c:v>
                </c:pt>
                <c:pt idx="7">
                  <c:v>0.97199999999999998</c:v>
                </c:pt>
                <c:pt idx="8">
                  <c:v>0.91600000000000004</c:v>
                </c:pt>
              </c:numCache>
            </c:numRef>
          </c:val>
        </c:ser>
        <c:dLbls>
          <c:showLegendKey val="0"/>
          <c:showVal val="1"/>
          <c:showCatName val="0"/>
          <c:showSerName val="0"/>
          <c:showPercent val="0"/>
          <c:showBubbleSize val="0"/>
        </c:dLbls>
        <c:gapWidth val="95"/>
        <c:overlap val="100"/>
        <c:axId val="37309440"/>
        <c:axId val="37331712"/>
      </c:barChart>
      <c:catAx>
        <c:axId val="37309440"/>
        <c:scaling>
          <c:orientation val="minMax"/>
        </c:scaling>
        <c:delete val="0"/>
        <c:axPos val="b"/>
        <c:majorTickMark val="none"/>
        <c:minorTickMark val="none"/>
        <c:tickLblPos val="nextTo"/>
        <c:txPr>
          <a:bodyPr rot="-5400000" vert="horz"/>
          <a:lstStyle/>
          <a:p>
            <a:pPr>
              <a:defRPr/>
            </a:pPr>
            <a:endParaRPr lang="en-US"/>
          </a:p>
        </c:txPr>
        <c:crossAx val="37331712"/>
        <c:crosses val="autoZero"/>
        <c:auto val="1"/>
        <c:lblAlgn val="ctr"/>
        <c:lblOffset val="100"/>
        <c:noMultiLvlLbl val="0"/>
      </c:catAx>
      <c:valAx>
        <c:axId val="37331712"/>
        <c:scaling>
          <c:orientation val="minMax"/>
        </c:scaling>
        <c:delete val="1"/>
        <c:axPos val="l"/>
        <c:numFmt formatCode="0.0%" sourceLinked="1"/>
        <c:majorTickMark val="none"/>
        <c:minorTickMark val="none"/>
        <c:tickLblPos val="nextTo"/>
        <c:crossAx val="3730944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Frequencies</a:t>
            </a:r>
            <a:r>
              <a:rPr lang="en-US" baseline="0"/>
              <a:t> Regarding AAP Assessment</a:t>
            </a:r>
            <a:endParaRPr lang="en-US"/>
          </a:p>
        </c:rich>
      </c:tx>
      <c:overlay val="0"/>
    </c:title>
    <c:autoTitleDeleted val="0"/>
    <c:plotArea>
      <c:layout>
        <c:manualLayout>
          <c:layoutTarget val="inner"/>
          <c:xMode val="edge"/>
          <c:yMode val="edge"/>
          <c:x val="0.28000331905267251"/>
          <c:y val="0.368790264853257"/>
          <c:w val="0.69115586009319552"/>
          <c:h val="0.5878215223097113"/>
        </c:manualLayout>
      </c:layout>
      <c:barChart>
        <c:barDir val="bar"/>
        <c:grouping val="clustered"/>
        <c:varyColors val="0"/>
        <c:ser>
          <c:idx val="0"/>
          <c:order val="0"/>
          <c:tx>
            <c:strRef>
              <c:f>Sheet1!$B$14:$B$16</c:f>
              <c:strCache>
                <c:ptCount val="1"/>
                <c:pt idx="0">
                  <c:v>I am aware of the parameters of the comprehensive periodontal assessment recommended by the AAP. (N=107)</c:v>
                </c:pt>
              </c:strCache>
            </c:strRef>
          </c:tx>
          <c:invertIfNegative val="0"/>
          <c:cat>
            <c:strRef>
              <c:f>Sheet1!$A$17:$A$23</c:f>
              <c:strCache>
                <c:ptCount val="7"/>
                <c:pt idx="0">
                  <c:v>Strongly Disagree/ Disagree</c:v>
                </c:pt>
                <c:pt idx="3">
                  <c:v>Neither Agree or Disagree</c:v>
                </c:pt>
                <c:pt idx="6">
                  <c:v>Strontly Agree/ Agree</c:v>
                </c:pt>
              </c:strCache>
            </c:strRef>
          </c:cat>
          <c:val>
            <c:numRef>
              <c:f>Sheet1!$B$17:$B$23</c:f>
              <c:numCache>
                <c:formatCode>General</c:formatCode>
                <c:ptCount val="7"/>
                <c:pt idx="0" formatCode="0.00%">
                  <c:v>5.6000000000000001E-2</c:v>
                </c:pt>
                <c:pt idx="3" formatCode="0.00%">
                  <c:v>0.159</c:v>
                </c:pt>
                <c:pt idx="6" formatCode="0.00%">
                  <c:v>0.78500000000000003</c:v>
                </c:pt>
              </c:numCache>
            </c:numRef>
          </c:val>
        </c:ser>
        <c:ser>
          <c:idx val="1"/>
          <c:order val="1"/>
          <c:tx>
            <c:strRef>
              <c:f>Sheet1!$C$14:$C$16</c:f>
              <c:strCache>
                <c:ptCount val="1"/>
                <c:pt idx="0">
                  <c:v>I perform the periodontal assessment procedures recommended by the AAP, on every adult recall patient. (N=103)</c:v>
                </c:pt>
              </c:strCache>
            </c:strRef>
          </c:tx>
          <c:invertIfNegative val="0"/>
          <c:cat>
            <c:strRef>
              <c:f>Sheet1!$A$17:$A$23</c:f>
              <c:strCache>
                <c:ptCount val="7"/>
                <c:pt idx="0">
                  <c:v>Strongly Disagree/ Disagree</c:v>
                </c:pt>
                <c:pt idx="3">
                  <c:v>Neither Agree or Disagree</c:v>
                </c:pt>
                <c:pt idx="6">
                  <c:v>Strontly Agree/ Agree</c:v>
                </c:pt>
              </c:strCache>
            </c:strRef>
          </c:cat>
          <c:val>
            <c:numRef>
              <c:f>Sheet1!$C$17:$C$23</c:f>
              <c:numCache>
                <c:formatCode>General</c:formatCode>
                <c:ptCount val="7"/>
                <c:pt idx="0" formatCode="0.00%">
                  <c:v>0.107</c:v>
                </c:pt>
                <c:pt idx="3" formatCode="0.00%">
                  <c:v>0.252</c:v>
                </c:pt>
                <c:pt idx="6" formatCode="0.00%">
                  <c:v>0.64100000000000001</c:v>
                </c:pt>
              </c:numCache>
            </c:numRef>
          </c:val>
        </c:ser>
        <c:dLbls>
          <c:showLegendKey val="0"/>
          <c:showVal val="1"/>
          <c:showCatName val="0"/>
          <c:showSerName val="0"/>
          <c:showPercent val="0"/>
          <c:showBubbleSize val="0"/>
        </c:dLbls>
        <c:gapWidth val="150"/>
        <c:overlap val="-25"/>
        <c:axId val="54577792"/>
        <c:axId val="54579584"/>
      </c:barChart>
      <c:catAx>
        <c:axId val="54577792"/>
        <c:scaling>
          <c:orientation val="minMax"/>
        </c:scaling>
        <c:delete val="0"/>
        <c:axPos val="l"/>
        <c:majorTickMark val="none"/>
        <c:minorTickMark val="none"/>
        <c:tickLblPos val="nextTo"/>
        <c:crossAx val="54579584"/>
        <c:crosses val="autoZero"/>
        <c:auto val="1"/>
        <c:lblAlgn val="ctr"/>
        <c:lblOffset val="100"/>
        <c:noMultiLvlLbl val="0"/>
      </c:catAx>
      <c:valAx>
        <c:axId val="54579584"/>
        <c:scaling>
          <c:orientation val="minMax"/>
        </c:scaling>
        <c:delete val="1"/>
        <c:axPos val="b"/>
        <c:numFmt formatCode="0%" sourceLinked="0"/>
        <c:majorTickMark val="none"/>
        <c:minorTickMark val="none"/>
        <c:tickLblPos val="nextTo"/>
        <c:crossAx val="5457779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957BD1-8240-4BBF-B235-2372DA16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2013-04-11T14:52:00Z</cp:lastPrinted>
  <dcterms:created xsi:type="dcterms:W3CDTF">2013-04-17T20:35:00Z</dcterms:created>
  <dcterms:modified xsi:type="dcterms:W3CDTF">2013-04-21T20:17:00Z</dcterms:modified>
</cp:coreProperties>
</file>