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D4" w:rsidRDefault="00296A3A">
      <w:pPr>
        <w:pStyle w:val="Title"/>
      </w:pPr>
      <w:r>
        <w:t>Connect and Develop: Implementing a New R&amp;D Strategy at Procter and Gamble</w:t>
      </w:r>
    </w:p>
    <w:p w:rsidR="002C54D4" w:rsidRDefault="002C54D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by</w:t>
      </w:r>
      <w:proofErr w:type="gramEnd"/>
    </w:p>
    <w:p w:rsidR="002C54D4" w:rsidRDefault="00296A3A">
      <w:pPr>
        <w:jc w:val="center"/>
        <w:rPr>
          <w:b/>
          <w:sz w:val="24"/>
        </w:rPr>
      </w:pPr>
      <w:r>
        <w:rPr>
          <w:b/>
          <w:sz w:val="22"/>
        </w:rPr>
        <w:t xml:space="preserve">Andrew </w:t>
      </w:r>
      <w:proofErr w:type="spellStart"/>
      <w:r>
        <w:rPr>
          <w:b/>
          <w:sz w:val="22"/>
        </w:rPr>
        <w:t>Currin</w:t>
      </w:r>
      <w:proofErr w:type="spellEnd"/>
    </w:p>
    <w:p w:rsidR="002C54D4" w:rsidRDefault="00E041FF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60720" cy="0"/>
                <wp:effectExtent l="9525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53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vb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ZunTB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" o:allowincell="f" strokeweight="1.5pt"/>
            </w:pict>
          </mc:Fallback>
        </mc:AlternateContent>
      </w:r>
    </w:p>
    <w:p w:rsidR="002C54D4" w:rsidRDefault="00296A3A">
      <w:pPr>
        <w:pStyle w:val="BodyTextIndent"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Procter and Gamble has relied on the traditional research and development practices used by most other large corporations, referred to as the “bricks-and-mortar”</w:t>
      </w:r>
      <w:r w:rsidR="0089222B">
        <w:rPr>
          <w:bCs/>
          <w:sz w:val="22"/>
        </w:rPr>
        <w:t xml:space="preserve"> approach.  This </w:t>
      </w:r>
      <w:r>
        <w:rPr>
          <w:bCs/>
          <w:sz w:val="22"/>
        </w:rPr>
        <w:t xml:space="preserve">means that all technological innovations, new product lines, or process improvements have </w:t>
      </w:r>
      <w:r w:rsidR="0089222B">
        <w:rPr>
          <w:bCs/>
          <w:sz w:val="22"/>
        </w:rPr>
        <w:t xml:space="preserve">to </w:t>
      </w:r>
      <w:r>
        <w:rPr>
          <w:bCs/>
          <w:sz w:val="22"/>
        </w:rPr>
        <w:t xml:space="preserve">come from within the company and nowhere else.  Larry Huston and Nabil </w:t>
      </w:r>
      <w:proofErr w:type="spellStart"/>
      <w:r>
        <w:rPr>
          <w:bCs/>
          <w:sz w:val="22"/>
        </w:rPr>
        <w:t>Sakkab</w:t>
      </w:r>
      <w:proofErr w:type="spellEnd"/>
      <w:r>
        <w:rPr>
          <w:bCs/>
          <w:sz w:val="22"/>
        </w:rPr>
        <w:t xml:space="preserve"> describe this old school and outdated approach to R&amp;D in an article titled “Connect and Develop”; “Most companies are still clinging to what </w:t>
      </w:r>
      <w:r w:rsidR="00786599">
        <w:rPr>
          <w:bCs/>
          <w:sz w:val="22"/>
        </w:rPr>
        <w:t>we call the invention model, centered on bricks-and-mortar R&amp;D infrastructure and the idea that their innovation must prin</w:t>
      </w:r>
      <w:bookmarkStart w:id="0" w:name="_GoBack"/>
      <w:bookmarkEnd w:id="0"/>
      <w:r w:rsidR="00786599">
        <w:rPr>
          <w:bCs/>
          <w:sz w:val="22"/>
        </w:rPr>
        <w:t>cipally reside within their o</w:t>
      </w:r>
      <w:r w:rsidR="000B5B38">
        <w:rPr>
          <w:bCs/>
          <w:sz w:val="22"/>
        </w:rPr>
        <w:t>wn four walls.”</w:t>
      </w:r>
      <w:sdt>
        <w:sdtPr>
          <w:rPr>
            <w:bCs/>
            <w:sz w:val="22"/>
          </w:rPr>
          <w:id w:val="-1546123063"/>
          <w:citation/>
        </w:sdtPr>
        <w:sdtContent>
          <w:r w:rsidR="000B5B38">
            <w:rPr>
              <w:bCs/>
              <w:sz w:val="22"/>
            </w:rPr>
            <w:fldChar w:fldCharType="begin"/>
          </w:r>
          <w:r w:rsidR="000B5B38">
            <w:rPr>
              <w:bCs/>
              <w:sz w:val="22"/>
            </w:rPr>
            <w:instrText xml:space="preserve">CITATION Hus \p 3 \l 1033 </w:instrText>
          </w:r>
          <w:r w:rsidR="000B5B38">
            <w:rPr>
              <w:bCs/>
              <w:sz w:val="22"/>
            </w:rPr>
            <w:fldChar w:fldCharType="separate"/>
          </w:r>
          <w:r w:rsidR="000B5B38">
            <w:rPr>
              <w:bCs/>
              <w:noProof/>
              <w:sz w:val="22"/>
            </w:rPr>
            <w:t xml:space="preserve"> </w:t>
          </w:r>
          <w:r w:rsidR="000B5B38" w:rsidRPr="000B5B38">
            <w:rPr>
              <w:noProof/>
              <w:sz w:val="22"/>
            </w:rPr>
            <w:t>(Huston &amp; Sakkab, 2006, p. 3)</w:t>
          </w:r>
          <w:r w:rsidR="000B5B38">
            <w:rPr>
              <w:bCs/>
              <w:sz w:val="22"/>
            </w:rPr>
            <w:fldChar w:fldCharType="end"/>
          </w:r>
        </w:sdtContent>
      </w:sdt>
      <w:r w:rsidR="00786599">
        <w:rPr>
          <w:bCs/>
          <w:sz w:val="22"/>
        </w:rPr>
        <w:t xml:space="preserve">  For large companies like Procter and Gamble this traditional R&amp;D model needed to create organic gr</w:t>
      </w:r>
      <w:r w:rsidR="0089222B">
        <w:rPr>
          <w:bCs/>
          <w:sz w:val="22"/>
        </w:rPr>
        <w:t>owth of 4% to 6% per year, this was</w:t>
      </w:r>
      <w:r w:rsidR="00786599">
        <w:rPr>
          <w:bCs/>
          <w:sz w:val="22"/>
        </w:rPr>
        <w:t xml:space="preserve"> the equivalent of a $4 billion business per year</w:t>
      </w:r>
      <w:r w:rsidR="0089222B">
        <w:rPr>
          <w:bCs/>
          <w:sz w:val="22"/>
        </w:rPr>
        <w:t xml:space="preserve"> for Procter and Gamble</w:t>
      </w:r>
      <w:r w:rsidR="00786599">
        <w:rPr>
          <w:bCs/>
          <w:sz w:val="22"/>
        </w:rPr>
        <w:t xml:space="preserve">.  The lack of this organic growth </w:t>
      </w:r>
      <w:r w:rsidR="0089222B">
        <w:rPr>
          <w:bCs/>
          <w:sz w:val="22"/>
        </w:rPr>
        <w:t>at</w:t>
      </w:r>
      <w:r w:rsidR="00786599">
        <w:rPr>
          <w:bCs/>
          <w:sz w:val="22"/>
        </w:rPr>
        <w:t xml:space="preserve"> Procter and Gamble was quickly eroding their market capital.  In fact, by the year 2000 Procter and Gamble saw their market cap fall by more than 50%.  Huston and </w:t>
      </w:r>
      <w:proofErr w:type="spellStart"/>
      <w:r w:rsidR="00786599">
        <w:rPr>
          <w:bCs/>
          <w:sz w:val="22"/>
        </w:rPr>
        <w:t>Sakkab</w:t>
      </w:r>
      <w:proofErr w:type="spellEnd"/>
      <w:r w:rsidR="00786599">
        <w:rPr>
          <w:bCs/>
          <w:sz w:val="22"/>
        </w:rPr>
        <w:t xml:space="preserve"> describe this steady slide downwards, “Our R&amp;D productivity had leveled off, and our innovation success rate – the percentage of new products that met financial objectives – had stagnated at about 35%.  Squeezed by nimble competitors, flattening sales, lackluster new launches and a quarterly earnings miss, we lost more than half our market c</w:t>
      </w:r>
      <w:r w:rsidR="000B5B38">
        <w:rPr>
          <w:bCs/>
          <w:sz w:val="22"/>
        </w:rPr>
        <w:t>ap</w:t>
      </w:r>
      <w:proofErr w:type="gramStart"/>
      <w:r w:rsidR="000B5B38">
        <w:rPr>
          <w:bCs/>
          <w:sz w:val="22"/>
        </w:rPr>
        <w:t>..”</w:t>
      </w:r>
      <w:proofErr w:type="gramEnd"/>
      <w:sdt>
        <w:sdtPr>
          <w:rPr>
            <w:bCs/>
            <w:sz w:val="22"/>
          </w:rPr>
          <w:id w:val="87822145"/>
          <w:citation/>
        </w:sdtPr>
        <w:sdtContent>
          <w:r w:rsidR="000B5B38">
            <w:rPr>
              <w:bCs/>
              <w:sz w:val="22"/>
            </w:rPr>
            <w:fldChar w:fldCharType="begin"/>
          </w:r>
          <w:r w:rsidR="000B5B38">
            <w:rPr>
              <w:bCs/>
              <w:sz w:val="22"/>
            </w:rPr>
            <w:instrText xml:space="preserve">CITATION Hus \p 3 \l 1033 </w:instrText>
          </w:r>
          <w:r w:rsidR="000B5B38">
            <w:rPr>
              <w:bCs/>
              <w:sz w:val="22"/>
            </w:rPr>
            <w:fldChar w:fldCharType="separate"/>
          </w:r>
          <w:r w:rsidR="000B5B38">
            <w:rPr>
              <w:bCs/>
              <w:noProof/>
              <w:sz w:val="22"/>
            </w:rPr>
            <w:t xml:space="preserve"> </w:t>
          </w:r>
          <w:r w:rsidR="000B5B38" w:rsidRPr="000B5B38">
            <w:rPr>
              <w:noProof/>
              <w:sz w:val="22"/>
            </w:rPr>
            <w:t>(Huston &amp; Sakkab, 2006, p. 3)</w:t>
          </w:r>
          <w:r w:rsidR="000B5B38">
            <w:rPr>
              <w:bCs/>
              <w:sz w:val="22"/>
            </w:rPr>
            <w:fldChar w:fldCharType="end"/>
          </w:r>
        </w:sdtContent>
      </w:sdt>
      <w:r w:rsidR="00786599">
        <w:rPr>
          <w:bCs/>
          <w:sz w:val="22"/>
        </w:rPr>
        <w:t xml:space="preserve">  </w:t>
      </w:r>
      <w:r w:rsidR="0089222B">
        <w:rPr>
          <w:bCs/>
          <w:sz w:val="22"/>
        </w:rPr>
        <w:t xml:space="preserve">The year of 2000 also brought a new CEO to Procter and Gamble, A.G. </w:t>
      </w:r>
      <w:proofErr w:type="spellStart"/>
      <w:r w:rsidR="0089222B">
        <w:rPr>
          <w:bCs/>
          <w:sz w:val="22"/>
        </w:rPr>
        <w:t>Lafley</w:t>
      </w:r>
      <w:proofErr w:type="spellEnd"/>
      <w:r w:rsidR="0089222B">
        <w:rPr>
          <w:bCs/>
          <w:sz w:val="22"/>
        </w:rPr>
        <w:t xml:space="preserve">.  </w:t>
      </w:r>
      <w:proofErr w:type="spellStart"/>
      <w:r w:rsidR="0089222B">
        <w:rPr>
          <w:bCs/>
          <w:sz w:val="22"/>
        </w:rPr>
        <w:t>Lafley</w:t>
      </w:r>
      <w:proofErr w:type="spellEnd"/>
      <w:r w:rsidR="0089222B">
        <w:rPr>
          <w:bCs/>
          <w:sz w:val="22"/>
        </w:rPr>
        <w:t xml:space="preserve"> immediately challenged his key executives to change Procter and Gamble’s business model for innovation.  Procter and Gamble rose to the challenge and was able to </w:t>
      </w:r>
      <w:r w:rsidR="000B5B38">
        <w:rPr>
          <w:bCs/>
          <w:sz w:val="22"/>
        </w:rPr>
        <w:t xml:space="preserve">redesign their R&amp;D and reshape the future of their business </w:t>
      </w:r>
      <w:r w:rsidR="0089222B">
        <w:rPr>
          <w:bCs/>
          <w:sz w:val="22"/>
        </w:rPr>
        <w:t xml:space="preserve">by collaborating </w:t>
      </w:r>
      <w:r w:rsidR="000B5B38">
        <w:rPr>
          <w:bCs/>
          <w:sz w:val="22"/>
        </w:rPr>
        <w:t xml:space="preserve">and sharing information with </w:t>
      </w:r>
      <w:r w:rsidR="0089222B">
        <w:rPr>
          <w:bCs/>
          <w:sz w:val="22"/>
        </w:rPr>
        <w:t>suppliers and other organizations</w:t>
      </w:r>
      <w:r w:rsidR="000B5B38">
        <w:rPr>
          <w:bCs/>
          <w:sz w:val="22"/>
        </w:rPr>
        <w:t xml:space="preserve"> in search of a mutually beneficial outcome</w:t>
      </w:r>
      <w:r w:rsidR="0089222B">
        <w:rPr>
          <w:bCs/>
          <w:sz w:val="22"/>
        </w:rPr>
        <w:t>.</w:t>
      </w:r>
    </w:p>
    <w:p w:rsidR="00B6570B" w:rsidRDefault="00B6570B">
      <w:pPr>
        <w:pStyle w:val="BodyTextIndent"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When </w:t>
      </w:r>
      <w:proofErr w:type="spellStart"/>
      <w:r>
        <w:rPr>
          <w:bCs/>
          <w:sz w:val="22"/>
        </w:rPr>
        <w:t>Lafley</w:t>
      </w:r>
      <w:proofErr w:type="spellEnd"/>
      <w:r>
        <w:rPr>
          <w:bCs/>
          <w:sz w:val="22"/>
        </w:rPr>
        <w:t xml:space="preserve"> took over as CEO in 2000 he ordered a very specific command to the employees of Procter and Gamble, “</w:t>
      </w:r>
      <w:proofErr w:type="spellStart"/>
      <w:r>
        <w:rPr>
          <w:bCs/>
          <w:sz w:val="22"/>
        </w:rPr>
        <w:t>Lafley</w:t>
      </w:r>
      <w:proofErr w:type="spellEnd"/>
      <w:r>
        <w:rPr>
          <w:bCs/>
          <w:sz w:val="22"/>
        </w:rPr>
        <w:t xml:space="preserve"> made it our goal to acquire 50% of our innovations outside the company.  The strategy wasn’t to replace the capabilities of our 7,500 researchers and support staff, but to better leverage them.  Half of our new products, </w:t>
      </w:r>
      <w:proofErr w:type="spellStart"/>
      <w:r>
        <w:rPr>
          <w:bCs/>
          <w:sz w:val="22"/>
        </w:rPr>
        <w:t>Lafley</w:t>
      </w:r>
      <w:proofErr w:type="spellEnd"/>
      <w:r>
        <w:rPr>
          <w:bCs/>
          <w:sz w:val="22"/>
        </w:rPr>
        <w:t xml:space="preserve"> said, would come from our own labs, and half would come through </w:t>
      </w:r>
      <w:r w:rsidR="000B5B38">
        <w:rPr>
          <w:bCs/>
          <w:sz w:val="22"/>
        </w:rPr>
        <w:t>them.”</w:t>
      </w:r>
      <w:sdt>
        <w:sdtPr>
          <w:rPr>
            <w:bCs/>
            <w:sz w:val="22"/>
          </w:rPr>
          <w:id w:val="-596482526"/>
          <w:citation/>
        </w:sdtPr>
        <w:sdtContent>
          <w:r w:rsidR="000B5B38">
            <w:rPr>
              <w:bCs/>
              <w:sz w:val="22"/>
            </w:rPr>
            <w:fldChar w:fldCharType="begin"/>
          </w:r>
          <w:r w:rsidR="000B5B38">
            <w:rPr>
              <w:bCs/>
              <w:sz w:val="22"/>
            </w:rPr>
            <w:instrText xml:space="preserve">CITATION Hus \p 3 \l 1033 </w:instrText>
          </w:r>
          <w:r w:rsidR="000B5B38">
            <w:rPr>
              <w:bCs/>
              <w:sz w:val="22"/>
            </w:rPr>
            <w:fldChar w:fldCharType="separate"/>
          </w:r>
          <w:r w:rsidR="000B5B38">
            <w:rPr>
              <w:bCs/>
              <w:noProof/>
              <w:sz w:val="22"/>
            </w:rPr>
            <w:t xml:space="preserve"> </w:t>
          </w:r>
          <w:r w:rsidR="000B5B38" w:rsidRPr="000B5B38">
            <w:rPr>
              <w:noProof/>
              <w:sz w:val="22"/>
            </w:rPr>
            <w:t>(Huston &amp; Sakkab, 2006, p. 3)</w:t>
          </w:r>
          <w:r w:rsidR="000B5B38">
            <w:rPr>
              <w:bCs/>
              <w:sz w:val="22"/>
            </w:rPr>
            <w:fldChar w:fldCharType="end"/>
          </w:r>
        </w:sdtContent>
      </w:sdt>
      <w:r>
        <w:rPr>
          <w:bCs/>
          <w:sz w:val="22"/>
        </w:rPr>
        <w:t xml:space="preserve">  It was through this mandate </w:t>
      </w:r>
      <w:proofErr w:type="gramStart"/>
      <w:r>
        <w:rPr>
          <w:bCs/>
          <w:sz w:val="22"/>
        </w:rPr>
        <w:t xml:space="preserve">the </w:t>
      </w:r>
      <w:r w:rsidRPr="00B6570B">
        <w:rPr>
          <w:bCs/>
          <w:i/>
          <w:sz w:val="22"/>
        </w:rPr>
        <w:t>connect</w:t>
      </w:r>
      <w:proofErr w:type="gramEnd"/>
      <w:r w:rsidRPr="00B6570B">
        <w:rPr>
          <w:bCs/>
          <w:i/>
          <w:sz w:val="22"/>
        </w:rPr>
        <w:t xml:space="preserve"> and develop</w:t>
      </w:r>
      <w:r>
        <w:rPr>
          <w:bCs/>
          <w:sz w:val="22"/>
        </w:rPr>
        <w:t xml:space="preserve"> innovation model was born.  Procter and Gamble was able to revolutionize the traditional R&amp;D practices by posing open challe</w:t>
      </w:r>
      <w:r w:rsidR="00383E0C">
        <w:rPr>
          <w:bCs/>
          <w:sz w:val="22"/>
        </w:rPr>
        <w:t xml:space="preserve">nges to problems that needed a solution.  The obstacle now was how to reach </w:t>
      </w:r>
      <w:r w:rsidR="00E041FF">
        <w:rPr>
          <w:bCs/>
          <w:sz w:val="22"/>
        </w:rPr>
        <w:t xml:space="preserve">qualified individuals with these questions that needed solving.  Procter and Gamble created proprietary and utilized open networks to disseminate their questions and to receive responses.  </w:t>
      </w:r>
      <w:r w:rsidR="00383E0C">
        <w:rPr>
          <w:bCs/>
          <w:sz w:val="22"/>
        </w:rPr>
        <w:t xml:space="preserve">Right away Procter and Gamble recognized the collaboration potential with suppliers; “Our top 15 suppliers have an estimated combined R&amp;D staff of 50,000.  As we built connect and develop, it didn’t take us long to realize they represented a huge potential source of innovation.  So we created a secure IT platform that would allow us to share technology briefs with our suppliers…Since creating our supplier network, we’ve seen a 30% increase in innovation projects jointly staffed with P&amp;G’s and suppliers’ researchers.  In some </w:t>
      </w:r>
      <w:r w:rsidR="00383E0C">
        <w:rPr>
          <w:bCs/>
          <w:sz w:val="22"/>
        </w:rPr>
        <w:lastRenderedPageBreak/>
        <w:t>cases, suppliers’ researchers would come to work in our labs, and in others, we work in theirs – an example of what we call “</w:t>
      </w:r>
      <w:proofErr w:type="spellStart"/>
      <w:r w:rsidR="00383E0C">
        <w:rPr>
          <w:bCs/>
          <w:sz w:val="22"/>
        </w:rPr>
        <w:t>cocreation</w:t>
      </w:r>
      <w:proofErr w:type="spellEnd"/>
      <w:r w:rsidR="00383E0C">
        <w:rPr>
          <w:bCs/>
          <w:sz w:val="22"/>
        </w:rPr>
        <w:t>,” a type of collaboration that goes well beyond typical joint developm</w:t>
      </w:r>
      <w:r w:rsidR="000B5B38">
        <w:rPr>
          <w:bCs/>
          <w:sz w:val="22"/>
        </w:rPr>
        <w:t>ent.”</w:t>
      </w:r>
      <w:sdt>
        <w:sdtPr>
          <w:rPr>
            <w:bCs/>
            <w:sz w:val="22"/>
          </w:rPr>
          <w:id w:val="-1230307749"/>
          <w:citation/>
        </w:sdtPr>
        <w:sdtContent>
          <w:r w:rsidR="000B5B38">
            <w:rPr>
              <w:bCs/>
              <w:sz w:val="22"/>
            </w:rPr>
            <w:fldChar w:fldCharType="begin"/>
          </w:r>
          <w:r w:rsidR="000B5B38">
            <w:rPr>
              <w:bCs/>
              <w:sz w:val="22"/>
            </w:rPr>
            <w:instrText xml:space="preserve">CITATION Hus \p 6 \l 1033 </w:instrText>
          </w:r>
          <w:r w:rsidR="000B5B38">
            <w:rPr>
              <w:bCs/>
              <w:sz w:val="22"/>
            </w:rPr>
            <w:fldChar w:fldCharType="separate"/>
          </w:r>
          <w:r w:rsidR="000B5B38">
            <w:rPr>
              <w:bCs/>
              <w:noProof/>
              <w:sz w:val="22"/>
            </w:rPr>
            <w:t xml:space="preserve"> </w:t>
          </w:r>
          <w:r w:rsidR="000B5B38" w:rsidRPr="000B5B38">
            <w:rPr>
              <w:noProof/>
              <w:sz w:val="22"/>
            </w:rPr>
            <w:t>(Huston &amp; Sakkab, 2006, p. 6)</w:t>
          </w:r>
          <w:r w:rsidR="000B5B38">
            <w:rPr>
              <w:bCs/>
              <w:sz w:val="22"/>
            </w:rPr>
            <w:fldChar w:fldCharType="end"/>
          </w:r>
        </w:sdtContent>
      </w:sdt>
      <w:r w:rsidR="00383E0C">
        <w:rPr>
          <w:bCs/>
          <w:sz w:val="22"/>
        </w:rPr>
        <w:t xml:space="preserve">  </w:t>
      </w:r>
      <w:r w:rsidR="00E041FF">
        <w:rPr>
          <w:bCs/>
          <w:sz w:val="22"/>
        </w:rPr>
        <w:t xml:space="preserve">Utilizing open networks proved to be even more fruitful than the proprietary network Procter and Gamble used to communicate with their suppliers.  Four open networks were implemented; </w:t>
      </w:r>
      <w:proofErr w:type="spellStart"/>
      <w:r w:rsidR="00E041FF">
        <w:rPr>
          <w:bCs/>
          <w:sz w:val="22"/>
        </w:rPr>
        <w:t>NineSigma</w:t>
      </w:r>
      <w:proofErr w:type="spellEnd"/>
      <w:r w:rsidR="00E041FF">
        <w:rPr>
          <w:bCs/>
          <w:sz w:val="22"/>
        </w:rPr>
        <w:t xml:space="preserve">, </w:t>
      </w:r>
      <w:proofErr w:type="spellStart"/>
      <w:r w:rsidR="00E041FF">
        <w:rPr>
          <w:bCs/>
          <w:sz w:val="22"/>
        </w:rPr>
        <w:t>InnoCentive</w:t>
      </w:r>
      <w:proofErr w:type="spellEnd"/>
      <w:r w:rsidR="00E041FF">
        <w:rPr>
          <w:bCs/>
          <w:sz w:val="22"/>
        </w:rPr>
        <w:t xml:space="preserve">, </w:t>
      </w:r>
      <w:proofErr w:type="spellStart"/>
      <w:r w:rsidR="00E041FF">
        <w:rPr>
          <w:bCs/>
          <w:sz w:val="22"/>
        </w:rPr>
        <w:t>YourEncore</w:t>
      </w:r>
      <w:proofErr w:type="spellEnd"/>
      <w:r w:rsidR="00E041FF">
        <w:rPr>
          <w:bCs/>
          <w:sz w:val="22"/>
        </w:rPr>
        <w:t xml:space="preserve">, and Yet2.com.  </w:t>
      </w:r>
      <w:r w:rsidR="001D72C1">
        <w:rPr>
          <w:bCs/>
          <w:sz w:val="22"/>
        </w:rPr>
        <w:t xml:space="preserve">Procter and Gamble were instrumental in helping to create </w:t>
      </w:r>
      <w:proofErr w:type="spellStart"/>
      <w:r w:rsidR="001D72C1">
        <w:rPr>
          <w:bCs/>
          <w:sz w:val="22"/>
        </w:rPr>
        <w:t>NineSigma</w:t>
      </w:r>
      <w:proofErr w:type="spellEnd"/>
      <w:r w:rsidR="001D72C1">
        <w:rPr>
          <w:bCs/>
          <w:sz w:val="22"/>
        </w:rPr>
        <w:t xml:space="preserve">, which is a company that helps science and technology companies with problems to reach other companies, universities, private labs, consultants, and government for possible solutions.  Huston and </w:t>
      </w:r>
      <w:proofErr w:type="spellStart"/>
      <w:r w:rsidR="001D72C1">
        <w:rPr>
          <w:bCs/>
          <w:sz w:val="22"/>
        </w:rPr>
        <w:t>Sakkab</w:t>
      </w:r>
      <w:proofErr w:type="spellEnd"/>
      <w:r w:rsidR="001D72C1">
        <w:rPr>
          <w:bCs/>
          <w:sz w:val="22"/>
        </w:rPr>
        <w:t xml:space="preserve"> demonstrate how useful </w:t>
      </w:r>
      <w:proofErr w:type="spellStart"/>
      <w:r w:rsidR="001D72C1">
        <w:rPr>
          <w:bCs/>
          <w:sz w:val="22"/>
        </w:rPr>
        <w:t>NineSigma</w:t>
      </w:r>
      <w:proofErr w:type="spellEnd"/>
      <w:r w:rsidR="001D72C1">
        <w:rPr>
          <w:bCs/>
          <w:sz w:val="22"/>
        </w:rPr>
        <w:t xml:space="preserve"> has been for Procter and Gamble, “Any solver can submit a </w:t>
      </w:r>
      <w:proofErr w:type="spellStart"/>
      <w:r w:rsidR="001D72C1">
        <w:rPr>
          <w:bCs/>
          <w:sz w:val="22"/>
        </w:rPr>
        <w:t>nonconfidential</w:t>
      </w:r>
      <w:proofErr w:type="spellEnd"/>
      <w:r w:rsidR="001D72C1">
        <w:rPr>
          <w:bCs/>
          <w:sz w:val="22"/>
        </w:rPr>
        <w:t xml:space="preserve"> proposal back to </w:t>
      </w:r>
      <w:proofErr w:type="spellStart"/>
      <w:r w:rsidR="001D72C1">
        <w:rPr>
          <w:bCs/>
          <w:sz w:val="22"/>
        </w:rPr>
        <w:t>NineSigma</w:t>
      </w:r>
      <w:proofErr w:type="spellEnd"/>
      <w:r w:rsidR="001D72C1">
        <w:rPr>
          <w:bCs/>
          <w:sz w:val="22"/>
        </w:rPr>
        <w:t xml:space="preserve">, which is transmitted to the contracting company.  If the company likes the proposal, </w:t>
      </w:r>
      <w:proofErr w:type="spellStart"/>
      <w:r w:rsidR="001D72C1">
        <w:rPr>
          <w:bCs/>
          <w:sz w:val="22"/>
        </w:rPr>
        <w:t>NineSigma</w:t>
      </w:r>
      <w:proofErr w:type="spellEnd"/>
      <w:r w:rsidR="001D72C1">
        <w:rPr>
          <w:bCs/>
          <w:sz w:val="22"/>
        </w:rPr>
        <w:t xml:space="preserve"> connects the company and solver, and the project proceeds from there.  We’ve distributed technology briefs to more than 700,000 people through </w:t>
      </w:r>
      <w:proofErr w:type="spellStart"/>
      <w:r w:rsidR="001D72C1">
        <w:rPr>
          <w:bCs/>
          <w:sz w:val="22"/>
        </w:rPr>
        <w:t>NineSigma</w:t>
      </w:r>
      <w:proofErr w:type="spellEnd"/>
      <w:r w:rsidR="001D72C1">
        <w:rPr>
          <w:bCs/>
          <w:sz w:val="22"/>
        </w:rPr>
        <w:t xml:space="preserve"> and have as a result completed over 100 projects, with 45% of them leading to agreements for further collaboration.”</w:t>
      </w:r>
      <w:sdt>
        <w:sdtPr>
          <w:rPr>
            <w:bCs/>
            <w:sz w:val="22"/>
          </w:rPr>
          <w:id w:val="258575170"/>
          <w:citation/>
        </w:sdtPr>
        <w:sdtContent>
          <w:r w:rsidR="000B5B38">
            <w:rPr>
              <w:bCs/>
              <w:sz w:val="22"/>
            </w:rPr>
            <w:fldChar w:fldCharType="begin"/>
          </w:r>
          <w:r w:rsidR="000B5B38">
            <w:rPr>
              <w:bCs/>
              <w:sz w:val="22"/>
            </w:rPr>
            <w:instrText xml:space="preserve">CITATION Hus \p 6 \l 1033 </w:instrText>
          </w:r>
          <w:r w:rsidR="000B5B38">
            <w:rPr>
              <w:bCs/>
              <w:sz w:val="22"/>
            </w:rPr>
            <w:fldChar w:fldCharType="separate"/>
          </w:r>
          <w:r w:rsidR="000B5B38">
            <w:rPr>
              <w:bCs/>
              <w:noProof/>
              <w:sz w:val="22"/>
            </w:rPr>
            <w:t xml:space="preserve"> </w:t>
          </w:r>
          <w:r w:rsidR="000B5B38" w:rsidRPr="000B5B38">
            <w:rPr>
              <w:noProof/>
              <w:sz w:val="22"/>
            </w:rPr>
            <w:t>(Huston &amp; Sakkab, 2006, p. 6)</w:t>
          </w:r>
          <w:r w:rsidR="000B5B38">
            <w:rPr>
              <w:bCs/>
              <w:sz w:val="22"/>
            </w:rPr>
            <w:fldChar w:fldCharType="end"/>
          </w:r>
        </w:sdtContent>
      </w:sdt>
      <w:r w:rsidR="000B5B38">
        <w:rPr>
          <w:bCs/>
          <w:sz w:val="22"/>
        </w:rPr>
        <w:t xml:space="preserve">  </w:t>
      </w:r>
      <w:proofErr w:type="spellStart"/>
      <w:r w:rsidR="00437D91">
        <w:rPr>
          <w:bCs/>
          <w:sz w:val="22"/>
        </w:rPr>
        <w:t>YourEncore</w:t>
      </w:r>
      <w:proofErr w:type="spellEnd"/>
      <w:r w:rsidR="00437D91">
        <w:rPr>
          <w:bCs/>
          <w:sz w:val="22"/>
        </w:rPr>
        <w:t xml:space="preserve"> is interesting as well because it connects more than 800 high performing scientists who have retired and work on contract.  Along with </w:t>
      </w:r>
      <w:proofErr w:type="spellStart"/>
      <w:r w:rsidR="00437D91">
        <w:rPr>
          <w:bCs/>
          <w:sz w:val="22"/>
        </w:rPr>
        <w:t>NineSigma</w:t>
      </w:r>
      <w:proofErr w:type="spellEnd"/>
      <w:r w:rsidR="00437D91">
        <w:rPr>
          <w:bCs/>
          <w:sz w:val="22"/>
        </w:rPr>
        <w:t xml:space="preserve"> the Yet2.com will help companies reach individuals outside of the company for solutions to their R&amp;D needs.  Yet2.com is different from the others because it is an online marketplace that brokers information both into and out of companies, labs, universities, and governments. </w:t>
      </w:r>
    </w:p>
    <w:p w:rsidR="00437D91" w:rsidRDefault="00437D91">
      <w:pPr>
        <w:pStyle w:val="BodyTextIndent"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Although Procter and Gamble opened itself up for companies wanting to collaborate in an effort to rework the way they fund R&amp;D, the most important question is did it work?  “The model works.  Today, more than </w:t>
      </w:r>
      <w:r w:rsidR="00761CE9">
        <w:rPr>
          <w:bCs/>
          <w:sz w:val="22"/>
        </w:rPr>
        <w:t>35% of our new products in market have elements that originated from outside P&amp;G, up from about 15% in 2000.  And 45% of the initiatives in our product development portfolio have key elements that were discovered externally…our R&amp;D productivity has increased by nearly 60%.  Our innovation success rate has more than doubled, while the cost of innovation has fallen.  R&amp;D investment as a percentage of sales is down from 4.8%in 2000 to 3.4% today.”</w:t>
      </w:r>
      <w:sdt>
        <w:sdtPr>
          <w:rPr>
            <w:bCs/>
            <w:sz w:val="22"/>
          </w:rPr>
          <w:id w:val="-1202858416"/>
          <w:citation/>
        </w:sdtPr>
        <w:sdtContent>
          <w:r w:rsidR="000B5B38">
            <w:rPr>
              <w:bCs/>
              <w:sz w:val="22"/>
            </w:rPr>
            <w:fldChar w:fldCharType="begin"/>
          </w:r>
          <w:r w:rsidR="000B5B38">
            <w:rPr>
              <w:bCs/>
              <w:sz w:val="22"/>
            </w:rPr>
            <w:instrText xml:space="preserve">CITATION Hus \p 4 \l 1033 </w:instrText>
          </w:r>
          <w:r w:rsidR="000B5B38">
            <w:rPr>
              <w:bCs/>
              <w:sz w:val="22"/>
            </w:rPr>
            <w:fldChar w:fldCharType="separate"/>
          </w:r>
          <w:r w:rsidR="000B5B38">
            <w:rPr>
              <w:bCs/>
              <w:noProof/>
              <w:sz w:val="22"/>
            </w:rPr>
            <w:t xml:space="preserve"> </w:t>
          </w:r>
          <w:r w:rsidR="000B5B38" w:rsidRPr="000B5B38">
            <w:rPr>
              <w:noProof/>
              <w:sz w:val="22"/>
            </w:rPr>
            <w:t>(Huston &amp; Sakkab, 2006, p. 4)</w:t>
          </w:r>
          <w:r w:rsidR="000B5B38">
            <w:rPr>
              <w:bCs/>
              <w:sz w:val="22"/>
            </w:rPr>
            <w:fldChar w:fldCharType="end"/>
          </w:r>
        </w:sdtContent>
      </w:sdt>
      <w:r w:rsidR="000B5B38">
        <w:rPr>
          <w:bCs/>
          <w:sz w:val="22"/>
        </w:rPr>
        <w:t xml:space="preserve">  </w:t>
      </w:r>
      <w:r w:rsidR="00761CE9">
        <w:rPr>
          <w:bCs/>
          <w:sz w:val="22"/>
        </w:rPr>
        <w:t>This example of Procter and Gamble’s success collaborating with outside companies for R&amp;D ideas and solutions should be a guiding light for other companies</w:t>
      </w:r>
      <w:r w:rsidR="00002DA0">
        <w:rPr>
          <w:bCs/>
          <w:sz w:val="22"/>
        </w:rPr>
        <w:t xml:space="preserve"> to follow.   Companies can use the collaborative approach to solve problems or improve efficiency within any aspect of their business.  Efficiencies within a products supply chain, logistics, </w:t>
      </w:r>
      <w:r w:rsidR="00037AC5">
        <w:rPr>
          <w:bCs/>
          <w:sz w:val="22"/>
        </w:rPr>
        <w:t>marketing, R&amp;D, or any other business unit.  Companies need to shed the old school way of doing business; walling yourself off from others and only contracting out non-essential functions.  By opening lines of collaboration between companies seeking solutions and those in a position to provide the answer, both are positively impacted financially and a close working, reliable relationship can be forged to ensure both collaborators future financial security.</w:t>
      </w:r>
    </w:p>
    <w:p w:rsidR="000B5B38" w:rsidRDefault="000B5B38">
      <w:pPr>
        <w:pStyle w:val="BodyTextIndent"/>
        <w:spacing w:line="360" w:lineRule="auto"/>
        <w:jc w:val="both"/>
        <w:rPr>
          <w:bCs/>
          <w:sz w:val="22"/>
        </w:rPr>
      </w:pPr>
    </w:p>
    <w:p w:rsidR="000B5B38" w:rsidRDefault="000B5B38">
      <w:pPr>
        <w:pStyle w:val="BodyTextIndent"/>
        <w:spacing w:line="360" w:lineRule="auto"/>
        <w:jc w:val="both"/>
        <w:rPr>
          <w:bCs/>
          <w:sz w:val="22"/>
        </w:rPr>
      </w:pPr>
    </w:p>
    <w:p w:rsidR="000B5B38" w:rsidRDefault="000B5B38">
      <w:pPr>
        <w:rPr>
          <w:bCs/>
          <w:sz w:val="22"/>
        </w:rPr>
      </w:pPr>
      <w:r>
        <w:rPr>
          <w:bCs/>
          <w:sz w:val="22"/>
        </w:rPr>
        <w:br w:type="page"/>
      </w:r>
    </w:p>
    <w:sdt>
      <w:sdtPr>
        <w:id w:val="-160079660"/>
        <w:docPartObj>
          <w:docPartGallery w:val="Bibliographies"/>
          <w:docPartUnique/>
        </w:docPartObj>
      </w:sdtPr>
      <w:sdtEndPr>
        <w:rPr>
          <w:b w:val="0"/>
          <w:sz w:val="20"/>
        </w:rPr>
      </w:sdtEndPr>
      <w:sdtContent>
        <w:p w:rsidR="000B5B38" w:rsidRDefault="000B5B38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0B5B38" w:rsidRDefault="000B5B38" w:rsidP="000B5B38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Huston, L., &amp; Sakkab, N. (2006, March). Connect and Develop: Inside Procter &amp; Gamble's New Model for Innovation. </w:t>
              </w:r>
              <w:r>
                <w:rPr>
                  <w:i/>
                  <w:iCs/>
                  <w:noProof/>
                </w:rPr>
                <w:t>Harvard Business Review</w:t>
              </w:r>
              <w:r>
                <w:rPr>
                  <w:noProof/>
                </w:rPr>
                <w:t>, p. 10.</w:t>
              </w:r>
            </w:p>
            <w:p w:rsidR="000B5B38" w:rsidRDefault="000B5B38" w:rsidP="000B5B3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0B5B38" w:rsidRPr="006C1021" w:rsidRDefault="000B5B38">
      <w:pPr>
        <w:pStyle w:val="BodyTextIndent"/>
        <w:spacing w:line="360" w:lineRule="auto"/>
        <w:jc w:val="both"/>
        <w:rPr>
          <w:bCs/>
          <w:sz w:val="22"/>
        </w:rPr>
      </w:pPr>
    </w:p>
    <w:sectPr w:rsidR="000B5B38" w:rsidRPr="006C1021">
      <w:pgSz w:w="12240" w:h="15840" w:code="1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A"/>
    <w:rsid w:val="00002DA0"/>
    <w:rsid w:val="00037AC5"/>
    <w:rsid w:val="000B5B38"/>
    <w:rsid w:val="001D72C1"/>
    <w:rsid w:val="00296A3A"/>
    <w:rsid w:val="002C54D4"/>
    <w:rsid w:val="00383E0C"/>
    <w:rsid w:val="00437D91"/>
    <w:rsid w:val="006C1021"/>
    <w:rsid w:val="00761CE9"/>
    <w:rsid w:val="00786599"/>
    <w:rsid w:val="0089222B"/>
    <w:rsid w:val="00B6570B"/>
    <w:rsid w:val="00E041FF"/>
    <w:rsid w:val="00E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B38"/>
    <w:rPr>
      <w:b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0B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B38"/>
    <w:rPr>
      <w:b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0B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_000\Downloads\Position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Hus</b:Tag>
    <b:SourceType>ArticleInAPeriodical</b:SourceType>
    <b:Guid>{BD516D54-CE01-49BF-8F8E-715DCB46E573}</b:Guid>
    <b:Title>Connect and Develop: Inside Procter &amp; Gamble's New Model for Innovation</b:Title>
    <b:Author>
      <b:Author>
        <b:NameList>
          <b:Person>
            <b:Last>Huston</b:Last>
            <b:First>Larry</b:First>
          </b:Person>
          <b:Person>
            <b:Last>Sakkab</b:Last>
            <b:First>Nabil</b:First>
          </b:Person>
        </b:NameList>
      </b:Author>
    </b:Author>
    <b:PeriodicalTitle>Harvard Business Review</b:PeriodicalTitle>
    <b:Year>2006</b:Year>
    <b:Month>March</b:Month>
    <b:Pages>10</b:Pages>
    <b:RefOrder>1</b:RefOrder>
  </b:Source>
</b:Sources>
</file>

<file path=customXml/itemProps1.xml><?xml version="1.0" encoding="utf-8"?>
<ds:datastoreItem xmlns:ds="http://schemas.openxmlformats.org/officeDocument/2006/customXml" ds:itemID="{5FFBF24B-4364-457E-A6F6-4446C71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PositionPaper</Template>
  <TotalTime>170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CUSTOMIZATION</vt:lpstr>
    </vt:vector>
  </TitlesOfParts>
  <Company>Hewlett-Packard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CUSTOMIZATION</dc:title>
  <dc:creator>currina11@students.ecu.edu</dc:creator>
  <cp:lastModifiedBy>currina11@students.ecu.edu</cp:lastModifiedBy>
  <cp:revision>3</cp:revision>
  <cp:lastPrinted>1998-02-12T13:12:00Z</cp:lastPrinted>
  <dcterms:created xsi:type="dcterms:W3CDTF">2013-02-18T21:08:00Z</dcterms:created>
  <dcterms:modified xsi:type="dcterms:W3CDTF">2013-02-19T01:03:00Z</dcterms:modified>
</cp:coreProperties>
</file>