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7C" w:rsidRDefault="00E6057C" w:rsidP="00E6057C">
      <w:r>
        <w:rPr>
          <w:b/>
          <w:bCs/>
          <w:i/>
          <w:iCs/>
          <w:sz w:val="28"/>
          <w:szCs w:val="28"/>
        </w:rPr>
        <w:t>Module Descriptions</w:t>
      </w:r>
    </w:p>
    <w:p w:rsidR="00E6057C" w:rsidRPr="00AB5F6D" w:rsidRDefault="00E6057C" w:rsidP="00E6057C">
      <w:pPr>
        <w:pStyle w:val="3"/>
        <w:rPr>
          <w:b/>
          <w:bCs/>
          <w:sz w:val="22"/>
          <w:szCs w:val="22"/>
        </w:rPr>
      </w:pPr>
      <w:r w:rsidRPr="00AB5F6D">
        <w:rPr>
          <w:b/>
          <w:bCs/>
          <w:sz w:val="22"/>
          <w:szCs w:val="22"/>
        </w:rPr>
        <w:t xml:space="preserve">LI5931 Language Systems 1 </w:t>
      </w:r>
    </w:p>
    <w:p w:rsidR="00E6057C" w:rsidRPr="00AB5F6D" w:rsidRDefault="00E6057C" w:rsidP="00E6057C">
      <w:pPr>
        <w:rPr>
          <w:sz w:val="22"/>
          <w:szCs w:val="22"/>
        </w:rPr>
      </w:pPr>
      <w:r w:rsidRPr="00AB5F6D">
        <w:rPr>
          <w:b/>
          <w:bCs/>
          <w:i/>
          <w:iCs/>
          <w:snapToGrid w:val="0"/>
          <w:sz w:val="22"/>
          <w:szCs w:val="22"/>
        </w:rPr>
        <w:t xml:space="preserve">Syllabus: </w:t>
      </w:r>
      <w:r w:rsidRPr="00AB5F6D">
        <w:rPr>
          <w:sz w:val="22"/>
          <w:szCs w:val="22"/>
        </w:rPr>
        <w:t xml:space="preserve">An introduction to the various approaches to the study of language: structuralism and functionalism, prescriptive and descriptive grammars. </w:t>
      </w:r>
      <w:proofErr w:type="gramStart"/>
      <w:r w:rsidRPr="00AB5F6D">
        <w:rPr>
          <w:sz w:val="22"/>
          <w:szCs w:val="22"/>
        </w:rPr>
        <w:t>Corpus linguistics and the study of language.</w:t>
      </w:r>
      <w:proofErr w:type="gramEnd"/>
      <w:r w:rsidRPr="00AB5F6D">
        <w:rPr>
          <w:sz w:val="22"/>
          <w:szCs w:val="22"/>
        </w:rPr>
        <w:t xml:space="preserve"> Basic syntactic concepts: the word, the phrase, the clause, the sentence. </w:t>
      </w:r>
      <w:proofErr w:type="gramStart"/>
      <w:r w:rsidRPr="00AB5F6D">
        <w:rPr>
          <w:sz w:val="22"/>
          <w:szCs w:val="22"/>
        </w:rPr>
        <w:t>Time, tense, aspect, and mood.</w:t>
      </w:r>
      <w:proofErr w:type="gramEnd"/>
      <w:r w:rsidRPr="00AB5F6D">
        <w:rPr>
          <w:sz w:val="22"/>
          <w:szCs w:val="22"/>
        </w:rPr>
        <w:t xml:space="preserve"> </w:t>
      </w:r>
      <w:proofErr w:type="gramStart"/>
      <w:r w:rsidRPr="00AB5F6D">
        <w:rPr>
          <w:sz w:val="22"/>
          <w:szCs w:val="22"/>
        </w:rPr>
        <w:t>The English tense system.</w:t>
      </w:r>
      <w:proofErr w:type="gramEnd"/>
      <w:r w:rsidRPr="00AB5F6D">
        <w:rPr>
          <w:sz w:val="22"/>
          <w:szCs w:val="22"/>
        </w:rPr>
        <w:t xml:space="preserve"> </w:t>
      </w:r>
      <w:proofErr w:type="spellStart"/>
      <w:r w:rsidRPr="00AB5F6D">
        <w:rPr>
          <w:sz w:val="22"/>
          <w:szCs w:val="22"/>
        </w:rPr>
        <w:t>Articulatory</w:t>
      </w:r>
      <w:proofErr w:type="spellEnd"/>
      <w:r w:rsidRPr="00AB5F6D">
        <w:rPr>
          <w:sz w:val="22"/>
          <w:szCs w:val="22"/>
        </w:rPr>
        <w:t xml:space="preserve"> phonetics: speech organs, place and manner of articulation of the English consonant and vowel systems. </w:t>
      </w:r>
      <w:proofErr w:type="gramStart"/>
      <w:r w:rsidRPr="00AB5F6D">
        <w:rPr>
          <w:sz w:val="22"/>
          <w:szCs w:val="22"/>
        </w:rPr>
        <w:t>The International Phonetic Alphabet and transcription of sounds.</w:t>
      </w:r>
      <w:proofErr w:type="gramEnd"/>
      <w:r w:rsidRPr="00AB5F6D">
        <w:rPr>
          <w:sz w:val="22"/>
          <w:szCs w:val="22"/>
        </w:rPr>
        <w:t xml:space="preserve"> </w:t>
      </w:r>
      <w:proofErr w:type="spellStart"/>
      <w:r w:rsidRPr="00AB5F6D">
        <w:rPr>
          <w:sz w:val="22"/>
          <w:szCs w:val="22"/>
        </w:rPr>
        <w:t>Suprasegmental</w:t>
      </w:r>
      <w:proofErr w:type="spellEnd"/>
      <w:r w:rsidRPr="00AB5F6D">
        <w:rPr>
          <w:sz w:val="22"/>
          <w:szCs w:val="22"/>
        </w:rPr>
        <w:t xml:space="preserve"> aspects of speech: intonation, rhythm, stress. </w:t>
      </w:r>
    </w:p>
    <w:p w:rsidR="00E6057C" w:rsidRPr="00AB5F6D" w:rsidRDefault="00E6057C" w:rsidP="00E6057C">
      <w:pPr>
        <w:rPr>
          <w:b/>
          <w:bCs/>
          <w:i/>
          <w:snapToGrid w:val="0"/>
          <w:sz w:val="22"/>
          <w:szCs w:val="22"/>
        </w:rPr>
      </w:pPr>
    </w:p>
    <w:p w:rsidR="00E6057C" w:rsidRPr="00AB5F6D" w:rsidRDefault="00E6057C" w:rsidP="00E6057C">
      <w:pPr>
        <w:pStyle w:val="a3"/>
        <w:tabs>
          <w:tab w:val="clear" w:pos="4320"/>
          <w:tab w:val="clear" w:pos="8640"/>
        </w:tabs>
        <w:rPr>
          <w:sz w:val="22"/>
          <w:szCs w:val="22"/>
          <w:lang w:val="en-IE"/>
        </w:rPr>
      </w:pPr>
    </w:p>
    <w:p w:rsidR="00E6057C" w:rsidRPr="00AB5F6D" w:rsidRDefault="00E6057C" w:rsidP="00E6057C">
      <w:pPr>
        <w:pStyle w:val="a3"/>
        <w:tabs>
          <w:tab w:val="clear" w:pos="4320"/>
          <w:tab w:val="clear" w:pos="8640"/>
        </w:tabs>
        <w:rPr>
          <w:b/>
          <w:bCs/>
          <w:sz w:val="22"/>
          <w:szCs w:val="22"/>
          <w:u w:val="single"/>
          <w:lang w:val="en-IE"/>
        </w:rPr>
      </w:pPr>
      <w:r w:rsidRPr="00AB5F6D">
        <w:rPr>
          <w:b/>
          <w:bCs/>
          <w:sz w:val="22"/>
          <w:szCs w:val="22"/>
          <w:u w:val="single"/>
        </w:rPr>
        <w:t xml:space="preserve">LI5922 </w:t>
      </w:r>
      <w:r w:rsidRPr="00AB5F6D">
        <w:rPr>
          <w:b/>
          <w:bCs/>
          <w:sz w:val="22"/>
          <w:szCs w:val="22"/>
          <w:u w:val="single"/>
          <w:lang w:val="en-IE"/>
        </w:rPr>
        <w:t xml:space="preserve">Language Systems 2 </w:t>
      </w:r>
    </w:p>
    <w:p w:rsidR="00E6057C" w:rsidRPr="00AB5F6D" w:rsidRDefault="00E6057C" w:rsidP="00E6057C">
      <w:pPr>
        <w:rPr>
          <w:b/>
          <w:bCs/>
          <w:i/>
          <w:iCs/>
          <w:snapToGrid w:val="0"/>
          <w:sz w:val="22"/>
          <w:szCs w:val="22"/>
        </w:rPr>
      </w:pPr>
      <w:r w:rsidRPr="00AB5F6D">
        <w:rPr>
          <w:b/>
          <w:bCs/>
          <w:i/>
          <w:iCs/>
          <w:snapToGrid w:val="0"/>
          <w:sz w:val="22"/>
          <w:szCs w:val="22"/>
        </w:rPr>
        <w:t xml:space="preserve">Syllabus: </w:t>
      </w:r>
      <w:r w:rsidRPr="00AB5F6D">
        <w:rPr>
          <w:sz w:val="22"/>
          <w:szCs w:val="22"/>
        </w:rPr>
        <w:t xml:space="preserve">Morphology: derivations, inflections, </w:t>
      </w:r>
      <w:proofErr w:type="gramStart"/>
      <w:r w:rsidRPr="00AB5F6D">
        <w:rPr>
          <w:sz w:val="22"/>
          <w:szCs w:val="22"/>
        </w:rPr>
        <w:t>compounding.</w:t>
      </w:r>
      <w:proofErr w:type="gramEnd"/>
      <w:r w:rsidRPr="00AB5F6D">
        <w:rPr>
          <w:sz w:val="22"/>
          <w:szCs w:val="22"/>
        </w:rPr>
        <w:t xml:space="preserve"> Modality: epistemic and </w:t>
      </w:r>
      <w:proofErr w:type="spellStart"/>
      <w:r w:rsidRPr="00AB5F6D">
        <w:rPr>
          <w:sz w:val="22"/>
          <w:szCs w:val="22"/>
        </w:rPr>
        <w:t>deontic</w:t>
      </w:r>
      <w:proofErr w:type="spellEnd"/>
      <w:r w:rsidRPr="00AB5F6D">
        <w:rPr>
          <w:sz w:val="22"/>
          <w:szCs w:val="22"/>
        </w:rPr>
        <w:t xml:space="preserve"> meanings, modal verbs and other ways of expressing modality. </w:t>
      </w:r>
      <w:proofErr w:type="gramStart"/>
      <w:r w:rsidRPr="00AB5F6D">
        <w:rPr>
          <w:sz w:val="22"/>
          <w:szCs w:val="22"/>
        </w:rPr>
        <w:t xml:space="preserve">Conditionality and </w:t>
      </w:r>
      <w:proofErr w:type="spellStart"/>
      <w:r w:rsidRPr="00AB5F6D">
        <w:rPr>
          <w:sz w:val="22"/>
          <w:szCs w:val="22"/>
        </w:rPr>
        <w:t>hypotheticality</w:t>
      </w:r>
      <w:proofErr w:type="spellEnd"/>
      <w:r w:rsidRPr="00AB5F6D">
        <w:rPr>
          <w:sz w:val="22"/>
          <w:szCs w:val="22"/>
        </w:rPr>
        <w:t>.</w:t>
      </w:r>
      <w:proofErr w:type="gramEnd"/>
      <w:r w:rsidRPr="00AB5F6D">
        <w:rPr>
          <w:sz w:val="22"/>
          <w:szCs w:val="22"/>
        </w:rPr>
        <w:t xml:space="preserve"> </w:t>
      </w:r>
      <w:proofErr w:type="gramStart"/>
      <w:r w:rsidRPr="00AB5F6D">
        <w:rPr>
          <w:sz w:val="22"/>
          <w:szCs w:val="22"/>
        </w:rPr>
        <w:t>The spelling and pronunciation of English.</w:t>
      </w:r>
      <w:proofErr w:type="gramEnd"/>
      <w:r w:rsidRPr="00AB5F6D">
        <w:rPr>
          <w:sz w:val="22"/>
          <w:szCs w:val="22"/>
        </w:rPr>
        <w:t xml:space="preserve"> </w:t>
      </w:r>
      <w:proofErr w:type="gramStart"/>
      <w:r w:rsidRPr="00AB5F6D">
        <w:rPr>
          <w:sz w:val="22"/>
          <w:szCs w:val="22"/>
        </w:rPr>
        <w:t>Semantic concepts and relations.</w:t>
      </w:r>
      <w:proofErr w:type="gramEnd"/>
      <w:r w:rsidRPr="00AB5F6D">
        <w:rPr>
          <w:sz w:val="22"/>
          <w:szCs w:val="22"/>
        </w:rPr>
        <w:t xml:space="preserve"> Discourse analysis: pragmatics, genre, exchange structure, conversation analysis, politeness, speech functions and acts, critical discourse analysis and issues of power, spoken and written discourse. </w:t>
      </w:r>
      <w:proofErr w:type="gramStart"/>
      <w:r w:rsidRPr="00AB5F6D">
        <w:rPr>
          <w:sz w:val="22"/>
          <w:szCs w:val="22"/>
        </w:rPr>
        <w:t>Corpus-based discourse analysis.</w:t>
      </w:r>
      <w:proofErr w:type="gramEnd"/>
    </w:p>
    <w:p w:rsidR="00E6057C" w:rsidRPr="00AB5F6D" w:rsidRDefault="00E6057C" w:rsidP="00E6057C">
      <w:pPr>
        <w:rPr>
          <w:b/>
          <w:bCs/>
          <w:i/>
          <w:snapToGrid w:val="0"/>
          <w:sz w:val="22"/>
          <w:szCs w:val="22"/>
        </w:rPr>
      </w:pPr>
    </w:p>
    <w:p w:rsidR="00E6057C" w:rsidRPr="00AB5F6D" w:rsidRDefault="00E6057C" w:rsidP="00E6057C">
      <w:pPr>
        <w:pStyle w:val="a3"/>
        <w:tabs>
          <w:tab w:val="clear" w:pos="4320"/>
          <w:tab w:val="clear" w:pos="8640"/>
        </w:tabs>
        <w:rPr>
          <w:snapToGrid w:val="0"/>
          <w:sz w:val="22"/>
          <w:szCs w:val="22"/>
        </w:rPr>
      </w:pPr>
    </w:p>
    <w:p w:rsidR="00E6057C" w:rsidRPr="00AB5F6D" w:rsidRDefault="00E6057C" w:rsidP="00E6057C">
      <w:pPr>
        <w:tabs>
          <w:tab w:val="left" w:pos="540"/>
        </w:tabs>
        <w:rPr>
          <w:b/>
          <w:sz w:val="22"/>
          <w:szCs w:val="22"/>
          <w:u w:val="single"/>
        </w:rPr>
      </w:pPr>
      <w:r w:rsidRPr="00AB5F6D">
        <w:rPr>
          <w:b/>
          <w:sz w:val="22"/>
          <w:szCs w:val="22"/>
          <w:u w:val="single"/>
        </w:rPr>
        <w:t xml:space="preserve">TE6011 </w:t>
      </w:r>
      <w:smartTag w:uri="urn:schemas-microsoft-com:office:smarttags" w:element="place">
        <w:r w:rsidRPr="00AB5F6D">
          <w:rPr>
            <w:b/>
            <w:sz w:val="22"/>
            <w:szCs w:val="22"/>
            <w:u w:val="single"/>
          </w:rPr>
          <w:t>SLA</w:t>
        </w:r>
      </w:smartTag>
      <w:r w:rsidRPr="00AB5F6D">
        <w:rPr>
          <w:b/>
          <w:sz w:val="22"/>
          <w:szCs w:val="22"/>
          <w:u w:val="single"/>
        </w:rPr>
        <w:t xml:space="preserve"> Theories and Classroom Applications </w:t>
      </w:r>
    </w:p>
    <w:p w:rsidR="00E6057C" w:rsidRPr="00AB5F6D" w:rsidRDefault="00E6057C" w:rsidP="00E6057C">
      <w:pPr>
        <w:tabs>
          <w:tab w:val="left" w:pos="540"/>
        </w:tabs>
        <w:rPr>
          <w:sz w:val="22"/>
          <w:szCs w:val="22"/>
        </w:rPr>
      </w:pPr>
      <w:r w:rsidRPr="00AB5F6D">
        <w:rPr>
          <w:b/>
          <w:bCs/>
          <w:i/>
          <w:iCs/>
          <w:snapToGrid w:val="0"/>
          <w:sz w:val="22"/>
          <w:szCs w:val="22"/>
        </w:rPr>
        <w:t xml:space="preserve">Syllabus: </w:t>
      </w:r>
      <w:r w:rsidRPr="00AB5F6D">
        <w:rPr>
          <w:sz w:val="22"/>
          <w:szCs w:val="22"/>
        </w:rPr>
        <w:t xml:space="preserve">Introduction to </w:t>
      </w:r>
      <w:smartTag w:uri="urn:schemas-microsoft-com:office:smarttags" w:element="place">
        <w:r w:rsidRPr="00AB5F6D">
          <w:rPr>
            <w:sz w:val="22"/>
            <w:szCs w:val="22"/>
          </w:rPr>
          <w:t>SLA</w:t>
        </w:r>
      </w:smartTag>
      <w:r w:rsidRPr="00AB5F6D">
        <w:rPr>
          <w:sz w:val="22"/>
          <w:szCs w:val="22"/>
        </w:rPr>
        <w:t xml:space="preserve"> (Second Language Acquisition): what is language? Child language acquisition, the process of language acquisition &amp; principle theories behaviourism, </w:t>
      </w:r>
      <w:proofErr w:type="spellStart"/>
      <w:r w:rsidRPr="00AB5F6D">
        <w:rPr>
          <w:sz w:val="22"/>
          <w:szCs w:val="22"/>
        </w:rPr>
        <w:t>innatism</w:t>
      </w:r>
      <w:proofErr w:type="spellEnd"/>
      <w:r w:rsidRPr="00AB5F6D">
        <w:rPr>
          <w:sz w:val="22"/>
          <w:szCs w:val="22"/>
        </w:rPr>
        <w:t xml:space="preserve">, </w:t>
      </w:r>
      <w:proofErr w:type="spellStart"/>
      <w:r w:rsidRPr="00AB5F6D">
        <w:rPr>
          <w:sz w:val="22"/>
          <w:szCs w:val="22"/>
        </w:rPr>
        <w:t>interactionism</w:t>
      </w:r>
      <w:proofErr w:type="spellEnd"/>
      <w:r w:rsidRPr="00AB5F6D">
        <w:rPr>
          <w:sz w:val="22"/>
          <w:szCs w:val="22"/>
        </w:rPr>
        <w:t xml:space="preserve">, CLA </w:t>
      </w:r>
      <w:proofErr w:type="spellStart"/>
      <w:r w:rsidRPr="00AB5F6D">
        <w:rPr>
          <w:sz w:val="22"/>
          <w:szCs w:val="22"/>
        </w:rPr>
        <w:t>vs</w:t>
      </w:r>
      <w:proofErr w:type="spellEnd"/>
      <w:r w:rsidRPr="00AB5F6D">
        <w:rPr>
          <w:sz w:val="22"/>
          <w:szCs w:val="22"/>
        </w:rPr>
        <w:t xml:space="preserve"> SLA, Application of Behaviourism to SLA, </w:t>
      </w:r>
      <w:proofErr w:type="spellStart"/>
      <w:r w:rsidRPr="00AB5F6D">
        <w:rPr>
          <w:sz w:val="22"/>
          <w:szCs w:val="22"/>
        </w:rPr>
        <w:t>Interactionist</w:t>
      </w:r>
      <w:proofErr w:type="spellEnd"/>
      <w:r w:rsidRPr="00AB5F6D">
        <w:rPr>
          <w:sz w:val="22"/>
          <w:szCs w:val="22"/>
        </w:rPr>
        <w:t xml:space="preserve"> theories in SLA (esp. </w:t>
      </w:r>
      <w:proofErr w:type="spellStart"/>
      <w:r w:rsidRPr="00AB5F6D">
        <w:rPr>
          <w:sz w:val="22"/>
          <w:szCs w:val="22"/>
        </w:rPr>
        <w:t>Vygotsky</w:t>
      </w:r>
      <w:proofErr w:type="spellEnd"/>
      <w:r w:rsidRPr="00AB5F6D">
        <w:rPr>
          <w:sz w:val="22"/>
          <w:szCs w:val="22"/>
        </w:rPr>
        <w:t xml:space="preserve">). </w:t>
      </w:r>
      <w:proofErr w:type="gramStart"/>
      <w:r w:rsidRPr="00AB5F6D">
        <w:rPr>
          <w:sz w:val="22"/>
          <w:szCs w:val="22"/>
        </w:rPr>
        <w:t>Bilingualism.</w:t>
      </w:r>
      <w:proofErr w:type="gramEnd"/>
      <w:r w:rsidRPr="00AB5F6D">
        <w:rPr>
          <w:sz w:val="22"/>
          <w:szCs w:val="22"/>
        </w:rPr>
        <w:t xml:space="preserve"> Classroom management &amp; skills teaching includes: classroom interaction patterns, instructions, elicitation, questioning techniques, the teaching of productive and receptive skills (speaking, writing, reading listening), vocabulary teaching. The second half of the semester will continue with lesson planning, contemporary teaching approaches (Communicative Language Teaching and Task Based Learning), learning styles &amp; strategies, motivation, influence of prior learning, teaching pronunciation, reflective practice.</w:t>
      </w:r>
    </w:p>
    <w:p w:rsidR="00E6057C" w:rsidRPr="00AB5F6D" w:rsidRDefault="00E6057C" w:rsidP="00E6057C">
      <w:pPr>
        <w:rPr>
          <w:b/>
          <w:bCs/>
          <w:i/>
          <w:snapToGrid w:val="0"/>
          <w:sz w:val="22"/>
          <w:szCs w:val="22"/>
        </w:rPr>
      </w:pPr>
    </w:p>
    <w:p w:rsidR="00E6057C" w:rsidRPr="00AB5F6D" w:rsidRDefault="00E6057C" w:rsidP="00E6057C">
      <w:pPr>
        <w:rPr>
          <w:sz w:val="22"/>
          <w:szCs w:val="22"/>
        </w:rPr>
      </w:pPr>
    </w:p>
    <w:p w:rsidR="00E6057C" w:rsidRPr="00AB5F6D" w:rsidRDefault="00E6057C" w:rsidP="00E6057C">
      <w:pPr>
        <w:rPr>
          <w:b/>
          <w:bCs/>
          <w:i/>
          <w:sz w:val="22"/>
          <w:szCs w:val="22"/>
          <w:u w:val="single"/>
        </w:rPr>
      </w:pPr>
      <w:r w:rsidRPr="00AB5F6D">
        <w:rPr>
          <w:b/>
          <w:sz w:val="22"/>
          <w:szCs w:val="22"/>
          <w:u w:val="single"/>
        </w:rPr>
        <w:t>TE6012 Language Pedagogy for ELT</w:t>
      </w:r>
      <w:r w:rsidRPr="00AB5F6D">
        <w:rPr>
          <w:b/>
          <w:bCs/>
          <w:i/>
          <w:sz w:val="22"/>
          <w:szCs w:val="22"/>
          <w:u w:val="single"/>
        </w:rPr>
        <w:t xml:space="preserve"> </w:t>
      </w:r>
    </w:p>
    <w:p w:rsidR="00E6057C" w:rsidRPr="00AB5F6D" w:rsidRDefault="00E6057C" w:rsidP="00E6057C">
      <w:pPr>
        <w:tabs>
          <w:tab w:val="left" w:pos="540"/>
        </w:tabs>
        <w:rPr>
          <w:sz w:val="22"/>
          <w:szCs w:val="22"/>
        </w:rPr>
      </w:pPr>
      <w:r w:rsidRPr="00AB5F6D">
        <w:rPr>
          <w:b/>
          <w:bCs/>
          <w:i/>
          <w:iCs/>
          <w:snapToGrid w:val="0"/>
          <w:sz w:val="22"/>
          <w:szCs w:val="22"/>
        </w:rPr>
        <w:t xml:space="preserve">Syllabus: </w:t>
      </w:r>
      <w:r w:rsidRPr="00AB5F6D">
        <w:rPr>
          <w:sz w:val="22"/>
          <w:szCs w:val="22"/>
        </w:rPr>
        <w:t xml:space="preserve">Teaching grammar, error analysis. Language teaching methodologies (student presentations) e.g. Grammar Translation, the Direct Method, </w:t>
      </w:r>
      <w:proofErr w:type="spellStart"/>
      <w:r w:rsidRPr="00AB5F6D">
        <w:rPr>
          <w:sz w:val="22"/>
          <w:szCs w:val="22"/>
        </w:rPr>
        <w:t>Audiolingualism</w:t>
      </w:r>
      <w:proofErr w:type="spellEnd"/>
      <w:r w:rsidRPr="00AB5F6D">
        <w:rPr>
          <w:sz w:val="22"/>
          <w:szCs w:val="22"/>
        </w:rPr>
        <w:t xml:space="preserve">, TPR (Total Physical Response), the Silent Way, </w:t>
      </w:r>
      <w:proofErr w:type="spellStart"/>
      <w:r w:rsidRPr="00AB5F6D">
        <w:rPr>
          <w:sz w:val="22"/>
          <w:szCs w:val="22"/>
        </w:rPr>
        <w:t>Suggestopedia</w:t>
      </w:r>
      <w:proofErr w:type="spellEnd"/>
      <w:r w:rsidRPr="00AB5F6D">
        <w:rPr>
          <w:sz w:val="22"/>
          <w:szCs w:val="22"/>
        </w:rPr>
        <w:t xml:space="preserve">, the Natural Method, the Lexical Approach, Cooperative Language Learning. Using authentic materials e.g. music/song, literature, newspapers, audio-visual material (DVD etc.). </w:t>
      </w:r>
      <w:proofErr w:type="gramStart"/>
      <w:r w:rsidRPr="00AB5F6D">
        <w:rPr>
          <w:sz w:val="22"/>
          <w:szCs w:val="22"/>
        </w:rPr>
        <w:t>ICT for language learning.</w:t>
      </w:r>
      <w:proofErr w:type="gramEnd"/>
      <w:r w:rsidRPr="00AB5F6D">
        <w:rPr>
          <w:sz w:val="22"/>
          <w:szCs w:val="22"/>
        </w:rPr>
        <w:t xml:space="preserve"> CLIL, ESOL, EAL. Teaching mixed ability groups. </w:t>
      </w:r>
      <w:proofErr w:type="gramStart"/>
      <w:r w:rsidRPr="00AB5F6D">
        <w:rPr>
          <w:sz w:val="22"/>
          <w:szCs w:val="22"/>
        </w:rPr>
        <w:t>Teaching young learners.</w:t>
      </w:r>
      <w:proofErr w:type="gramEnd"/>
      <w:r w:rsidRPr="00AB5F6D">
        <w:rPr>
          <w:sz w:val="22"/>
          <w:szCs w:val="22"/>
        </w:rPr>
        <w:t xml:space="preserve"> </w:t>
      </w:r>
      <w:proofErr w:type="gramStart"/>
      <w:r w:rsidRPr="00AB5F6D">
        <w:rPr>
          <w:sz w:val="22"/>
          <w:szCs w:val="22"/>
        </w:rPr>
        <w:t>Assessment, evaluation, examinations (IELTS etc).</w:t>
      </w:r>
      <w:proofErr w:type="gramEnd"/>
    </w:p>
    <w:p w:rsidR="00E6057C" w:rsidRPr="00AB5F6D" w:rsidRDefault="00E6057C" w:rsidP="00E6057C">
      <w:pPr>
        <w:rPr>
          <w:b/>
          <w:bCs/>
          <w:i/>
          <w:snapToGrid w:val="0"/>
          <w:sz w:val="22"/>
          <w:szCs w:val="22"/>
        </w:rPr>
      </w:pPr>
    </w:p>
    <w:p w:rsidR="00E6057C" w:rsidRPr="00AB5F6D" w:rsidRDefault="00E6057C" w:rsidP="00E6057C">
      <w:pPr>
        <w:rPr>
          <w:sz w:val="22"/>
          <w:szCs w:val="22"/>
        </w:rPr>
      </w:pPr>
    </w:p>
    <w:p w:rsidR="00E6057C" w:rsidRPr="00AB5F6D" w:rsidRDefault="00E6057C" w:rsidP="00E6057C">
      <w:pPr>
        <w:rPr>
          <w:b/>
          <w:sz w:val="22"/>
          <w:szCs w:val="22"/>
          <w:u w:val="single"/>
        </w:rPr>
      </w:pPr>
      <w:proofErr w:type="gramStart"/>
      <w:r w:rsidRPr="00AB5F6D">
        <w:rPr>
          <w:b/>
          <w:sz w:val="22"/>
          <w:szCs w:val="22"/>
          <w:u w:val="single"/>
        </w:rPr>
        <w:t>LI6012  Linguistics</w:t>
      </w:r>
      <w:proofErr w:type="gramEnd"/>
      <w:r w:rsidRPr="00AB5F6D">
        <w:rPr>
          <w:b/>
          <w:sz w:val="22"/>
          <w:szCs w:val="22"/>
          <w:u w:val="single"/>
        </w:rPr>
        <w:t xml:space="preserve"> for Language Teaching </w:t>
      </w:r>
    </w:p>
    <w:p w:rsidR="00E6057C" w:rsidRPr="00E6057C" w:rsidRDefault="00E6057C" w:rsidP="00E6057C">
      <w:pPr>
        <w:rPr>
          <w:sz w:val="22"/>
          <w:szCs w:val="22"/>
        </w:rPr>
      </w:pPr>
      <w:r w:rsidRPr="00AB5F6D">
        <w:rPr>
          <w:b/>
          <w:bCs/>
          <w:i/>
          <w:iCs/>
          <w:snapToGrid w:val="0"/>
          <w:sz w:val="22"/>
          <w:szCs w:val="22"/>
        </w:rPr>
        <w:t xml:space="preserve">Syllabus: </w:t>
      </w:r>
      <w:r w:rsidRPr="00AB5F6D">
        <w:rPr>
          <w:sz w:val="22"/>
          <w:szCs w:val="22"/>
        </w:rPr>
        <w:t xml:space="preserve">This module provides an up-to-date introduction to the study of linguistics and sociolinguistics. The nature of the relationship between language and society is examined, with reference to the multilingualism and language variation. The students will become familiar with approaches to the study of language use in contemporary Sociolinguistics, with the aim of providing an in-depth understanding of both practical and theoretical knowledge of major paradigms and interpretive traditions in sociolinguistics and examining how these relate </w:t>
      </w:r>
      <w:proofErr w:type="gramStart"/>
      <w:r w:rsidRPr="00AB5F6D">
        <w:rPr>
          <w:sz w:val="22"/>
          <w:szCs w:val="22"/>
        </w:rPr>
        <w:t>to  language</w:t>
      </w:r>
      <w:proofErr w:type="gramEnd"/>
      <w:r w:rsidRPr="00AB5F6D">
        <w:rPr>
          <w:sz w:val="22"/>
          <w:szCs w:val="22"/>
        </w:rPr>
        <w:t xml:space="preserve"> teaching.</w:t>
      </w:r>
    </w:p>
    <w:p w:rsidR="00E6057C" w:rsidRPr="00AB5F6D" w:rsidRDefault="00E6057C" w:rsidP="00E6057C">
      <w:pPr>
        <w:rPr>
          <w:snapToGrid w:val="0"/>
          <w:sz w:val="22"/>
          <w:szCs w:val="22"/>
        </w:rPr>
      </w:pPr>
    </w:p>
    <w:p w:rsidR="00E6057C" w:rsidRPr="00AB5F6D" w:rsidRDefault="00E6057C" w:rsidP="00E6057C">
      <w:pPr>
        <w:rPr>
          <w:snapToGrid w:val="0"/>
          <w:sz w:val="22"/>
          <w:szCs w:val="22"/>
        </w:rPr>
      </w:pPr>
    </w:p>
    <w:p w:rsidR="00E6057C" w:rsidRPr="00AB5F6D" w:rsidRDefault="00E6057C" w:rsidP="00E6057C">
      <w:pPr>
        <w:pStyle w:val="3"/>
        <w:rPr>
          <w:b/>
          <w:bCs/>
          <w:snapToGrid w:val="0"/>
          <w:sz w:val="22"/>
          <w:szCs w:val="22"/>
          <w:lang w:val="en-US"/>
        </w:rPr>
      </w:pPr>
      <w:r w:rsidRPr="00AB5F6D">
        <w:rPr>
          <w:b/>
          <w:bCs/>
          <w:snapToGrid w:val="0"/>
          <w:sz w:val="22"/>
          <w:szCs w:val="22"/>
          <w:lang w:val="en-US"/>
        </w:rPr>
        <w:t>RM6001 Research Methodology</w:t>
      </w:r>
    </w:p>
    <w:p w:rsidR="00E6057C" w:rsidRPr="00AB5F6D" w:rsidRDefault="00E6057C" w:rsidP="00E6057C">
      <w:pPr>
        <w:rPr>
          <w:b/>
          <w:bCs/>
          <w:i/>
          <w:iCs/>
          <w:sz w:val="22"/>
          <w:szCs w:val="22"/>
        </w:rPr>
      </w:pPr>
      <w:r w:rsidRPr="00AB5F6D">
        <w:rPr>
          <w:b/>
          <w:bCs/>
          <w:i/>
          <w:iCs/>
          <w:sz w:val="22"/>
          <w:szCs w:val="22"/>
        </w:rPr>
        <w:t xml:space="preserve">Syllabus: </w:t>
      </w:r>
      <w:r w:rsidRPr="00AB5F6D">
        <w:rPr>
          <w:sz w:val="22"/>
          <w:szCs w:val="22"/>
        </w:rPr>
        <w:t>The nature of research and the research question.</w:t>
      </w:r>
      <w:r w:rsidRPr="00AB5F6D">
        <w:rPr>
          <w:b/>
          <w:sz w:val="22"/>
          <w:szCs w:val="22"/>
        </w:rPr>
        <w:t xml:space="preserve"> </w:t>
      </w:r>
      <w:r w:rsidRPr="00AB5F6D">
        <w:rPr>
          <w:sz w:val="22"/>
          <w:szCs w:val="22"/>
        </w:rPr>
        <w:t>Research methodologies: qualitative versus quantitative approaches, survey research (sampling, questionnaire design etc.), text analysis and critical discourse analysis, content analysis, conversation and interaction analysis</w:t>
      </w:r>
      <w:r w:rsidRPr="00AB5F6D">
        <w:rPr>
          <w:b/>
          <w:sz w:val="22"/>
          <w:szCs w:val="22"/>
        </w:rPr>
        <w:t xml:space="preserve">, </w:t>
      </w:r>
      <w:r w:rsidRPr="00AB5F6D">
        <w:rPr>
          <w:sz w:val="22"/>
          <w:szCs w:val="22"/>
        </w:rPr>
        <w:t>interviews, classroom observation, action research, case studies, analysis of film, literature, visual arts, etc., ethical issues, reliability and validity.</w:t>
      </w:r>
      <w:r w:rsidRPr="00AB5F6D">
        <w:rPr>
          <w:rFonts w:ascii="Arial" w:hAnsi="Arial"/>
          <w:sz w:val="22"/>
          <w:szCs w:val="22"/>
        </w:rPr>
        <w:t xml:space="preserve"> </w:t>
      </w:r>
      <w:r w:rsidRPr="00AB5F6D">
        <w:rPr>
          <w:sz w:val="22"/>
          <w:szCs w:val="22"/>
        </w:rPr>
        <w:t>Electronic tools: literature databases and search skills, Excel, electronic reference managers (Endnote).</w:t>
      </w:r>
      <w:r w:rsidRPr="00AB5F6D">
        <w:rPr>
          <w:b/>
          <w:sz w:val="22"/>
          <w:szCs w:val="22"/>
        </w:rPr>
        <w:t xml:space="preserve"> </w:t>
      </w:r>
      <w:r w:rsidRPr="00AB5F6D">
        <w:rPr>
          <w:sz w:val="22"/>
          <w:szCs w:val="22"/>
        </w:rPr>
        <w:t xml:space="preserve">Academic writing: structure, </w:t>
      </w:r>
      <w:proofErr w:type="spellStart"/>
      <w:r w:rsidRPr="00AB5F6D">
        <w:rPr>
          <w:sz w:val="22"/>
          <w:szCs w:val="22"/>
        </w:rPr>
        <w:t>workplan</w:t>
      </w:r>
      <w:proofErr w:type="spellEnd"/>
      <w:r w:rsidRPr="00AB5F6D">
        <w:rPr>
          <w:sz w:val="22"/>
          <w:szCs w:val="22"/>
        </w:rPr>
        <w:t xml:space="preserve"> and presentation.</w:t>
      </w:r>
      <w:r w:rsidRPr="00AB5F6D">
        <w:rPr>
          <w:b/>
          <w:sz w:val="22"/>
          <w:szCs w:val="22"/>
        </w:rPr>
        <w:t xml:space="preserve"> </w:t>
      </w:r>
      <w:proofErr w:type="gramStart"/>
      <w:r w:rsidRPr="00AB5F6D">
        <w:rPr>
          <w:sz w:val="22"/>
          <w:szCs w:val="22"/>
        </w:rPr>
        <w:t>Literature review and referencing.</w:t>
      </w:r>
      <w:proofErr w:type="gramEnd"/>
      <w:r w:rsidRPr="00AB5F6D">
        <w:rPr>
          <w:sz w:val="22"/>
          <w:szCs w:val="22"/>
        </w:rPr>
        <w:t xml:space="preserve"> </w:t>
      </w:r>
      <w:proofErr w:type="gramStart"/>
      <w:r w:rsidRPr="00AB5F6D">
        <w:rPr>
          <w:sz w:val="22"/>
          <w:szCs w:val="22"/>
        </w:rPr>
        <w:t>Planning and writing a research proposal.</w:t>
      </w:r>
      <w:proofErr w:type="gramEnd"/>
      <w:r w:rsidRPr="00AB5F6D">
        <w:rPr>
          <w:sz w:val="22"/>
          <w:szCs w:val="22"/>
        </w:rPr>
        <w:t xml:space="preserve"> Overall structure: from research question to thesis.</w:t>
      </w:r>
    </w:p>
    <w:p w:rsidR="00E6057C" w:rsidRPr="00AB5F6D" w:rsidRDefault="00E6057C" w:rsidP="00E6057C">
      <w:pPr>
        <w:pStyle w:val="4"/>
        <w:spacing w:before="0"/>
        <w:rPr>
          <w:sz w:val="22"/>
          <w:szCs w:val="22"/>
          <w:lang w:val="en-US"/>
        </w:rPr>
      </w:pPr>
    </w:p>
    <w:p w:rsidR="00E6057C" w:rsidRPr="00AB5F6D" w:rsidRDefault="00E6057C" w:rsidP="00E6057C">
      <w:pPr>
        <w:rPr>
          <w:snapToGrid w:val="0"/>
          <w:sz w:val="22"/>
          <w:szCs w:val="22"/>
          <w:lang w:val="en-US"/>
        </w:rPr>
      </w:pPr>
    </w:p>
    <w:p w:rsidR="00E6057C" w:rsidRPr="00AB5F6D" w:rsidRDefault="00E6057C" w:rsidP="00E6057C">
      <w:pPr>
        <w:rPr>
          <w:b/>
          <w:bCs/>
          <w:sz w:val="22"/>
          <w:szCs w:val="22"/>
          <w:u w:val="single"/>
        </w:rPr>
      </w:pPr>
      <w:r w:rsidRPr="00AB5F6D">
        <w:rPr>
          <w:b/>
          <w:bCs/>
          <w:sz w:val="22"/>
          <w:szCs w:val="22"/>
          <w:u w:val="single"/>
        </w:rPr>
        <w:t>TP5921 Teaching Practice 1 and TP5912 Teaching Practice 2</w:t>
      </w:r>
    </w:p>
    <w:p w:rsidR="00E6057C" w:rsidRPr="00AB5F6D" w:rsidRDefault="00E6057C" w:rsidP="00E6057C">
      <w:pPr>
        <w:rPr>
          <w:sz w:val="22"/>
          <w:szCs w:val="22"/>
        </w:rPr>
      </w:pPr>
      <w:r w:rsidRPr="00AB5F6D">
        <w:rPr>
          <w:b/>
          <w:bCs/>
          <w:i/>
          <w:snapToGrid w:val="0"/>
          <w:sz w:val="22"/>
          <w:szCs w:val="22"/>
        </w:rPr>
        <w:t xml:space="preserve">Syllabus: </w:t>
      </w:r>
      <w:r w:rsidRPr="00AB5F6D">
        <w:rPr>
          <w:sz w:val="22"/>
          <w:szCs w:val="22"/>
        </w:rPr>
        <w:t>Teaching practice sessions, which involve teaching foreign students on campus, are DVD recorded and reviewed under the guidance of a trainer who will discuss teaching performance.</w:t>
      </w:r>
    </w:p>
    <w:p w:rsidR="00E6057C" w:rsidRPr="00AB5F6D" w:rsidRDefault="00E6057C" w:rsidP="00E6057C">
      <w:pPr>
        <w:rPr>
          <w:sz w:val="22"/>
          <w:szCs w:val="22"/>
        </w:rPr>
      </w:pPr>
    </w:p>
    <w:p w:rsidR="00E6057C" w:rsidRPr="00AB5F6D" w:rsidRDefault="00E6057C" w:rsidP="00E6057C">
      <w:pPr>
        <w:rPr>
          <w:sz w:val="22"/>
          <w:szCs w:val="22"/>
        </w:rPr>
      </w:pPr>
    </w:p>
    <w:p w:rsidR="00D05062" w:rsidRDefault="00D05062"/>
    <w:sectPr w:rsidR="00D05062" w:rsidSect="00D05062">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057C"/>
    <w:rsid w:val="00D05062"/>
    <w:rsid w:val="00E605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C"/>
    <w:pPr>
      <w:spacing w:after="0" w:line="240" w:lineRule="auto"/>
    </w:pPr>
    <w:rPr>
      <w:rFonts w:ascii="Times New Roman" w:eastAsia="Times New Roman" w:hAnsi="Times New Roman" w:cs="Times New Roman"/>
      <w:sz w:val="24"/>
      <w:szCs w:val="24"/>
      <w:lang w:val="en-IE" w:eastAsia="en-US"/>
    </w:rPr>
  </w:style>
  <w:style w:type="paragraph" w:styleId="3">
    <w:name w:val="heading 3"/>
    <w:basedOn w:val="a"/>
    <w:next w:val="a"/>
    <w:link w:val="30"/>
    <w:qFormat/>
    <w:rsid w:val="00E6057C"/>
    <w:pPr>
      <w:keepNext/>
      <w:outlineLvl w:val="2"/>
    </w:pPr>
    <w:rPr>
      <w:szCs w:val="20"/>
      <w:u w:val="single"/>
    </w:rPr>
  </w:style>
  <w:style w:type="paragraph" w:styleId="4">
    <w:name w:val="heading 4"/>
    <w:basedOn w:val="a"/>
    <w:next w:val="a"/>
    <w:link w:val="40"/>
    <w:qFormat/>
    <w:rsid w:val="00E6057C"/>
    <w:pPr>
      <w:keepNext/>
      <w:spacing w:before="240"/>
      <w:outlineLvl w:val="3"/>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E6057C"/>
    <w:rPr>
      <w:rFonts w:ascii="Times New Roman" w:eastAsia="Times New Roman" w:hAnsi="Times New Roman" w:cs="Times New Roman"/>
      <w:sz w:val="24"/>
      <w:szCs w:val="20"/>
      <w:u w:val="single"/>
      <w:lang w:val="en-IE" w:eastAsia="en-US"/>
    </w:rPr>
  </w:style>
  <w:style w:type="character" w:customStyle="1" w:styleId="40">
    <w:name w:val="見出し 4 (文字)"/>
    <w:basedOn w:val="a0"/>
    <w:link w:val="4"/>
    <w:rsid w:val="00E6057C"/>
    <w:rPr>
      <w:rFonts w:ascii="Times New Roman" w:eastAsia="Times New Roman" w:hAnsi="Times New Roman" w:cs="Times New Roman"/>
      <w:i/>
      <w:sz w:val="24"/>
      <w:szCs w:val="20"/>
      <w:lang w:val="en-IE" w:eastAsia="en-US"/>
    </w:rPr>
  </w:style>
  <w:style w:type="paragraph" w:styleId="a3">
    <w:name w:val="footer"/>
    <w:basedOn w:val="a"/>
    <w:link w:val="a4"/>
    <w:rsid w:val="00E6057C"/>
    <w:pPr>
      <w:tabs>
        <w:tab w:val="center" w:pos="4320"/>
        <w:tab w:val="right" w:pos="8640"/>
      </w:tabs>
    </w:pPr>
    <w:rPr>
      <w:szCs w:val="20"/>
      <w:lang w:val="en-US"/>
    </w:rPr>
  </w:style>
  <w:style w:type="character" w:customStyle="1" w:styleId="a4">
    <w:name w:val="フッター (文字)"/>
    <w:basedOn w:val="a0"/>
    <w:link w:val="a3"/>
    <w:rsid w:val="00E6057C"/>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toin-csp-ec1</dc:creator>
  <cp:lastModifiedBy>toin-csp-ec1</cp:lastModifiedBy>
  <cp:revision>1</cp:revision>
  <dcterms:created xsi:type="dcterms:W3CDTF">2013-11-05T06:17:00Z</dcterms:created>
  <dcterms:modified xsi:type="dcterms:W3CDTF">2013-11-05T06:20:00Z</dcterms:modified>
</cp:coreProperties>
</file>