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8" w:rsidRDefault="006F237F">
      <w:pPr>
        <w:rPr>
          <w:rFonts w:ascii="Helvetica" w:hAnsi="Helvetica" w:cs="Helvetica"/>
          <w:color w:val="404040"/>
          <w:shd w:val="clear" w:color="auto" w:fill="FFFFFF"/>
        </w:rPr>
      </w:pPr>
      <w:r>
        <w:rPr>
          <w:rFonts w:ascii="Helvetica" w:hAnsi="Helvetica" w:cs="Helvetica"/>
          <w:color w:val="404040"/>
          <w:shd w:val="clear" w:color="auto" w:fill="FFFFFF"/>
        </w:rPr>
        <w:t xml:space="preserve">Binding Arbitration in Texas by </w:t>
      </w:r>
      <w:r w:rsidRPr="006F237F">
        <w:rPr>
          <w:rFonts w:ascii="Helvetica" w:hAnsi="Helvetica" w:cs="Helvetica"/>
          <w:color w:val="404040"/>
          <w:shd w:val="clear" w:color="auto" w:fill="FFFFFF"/>
        </w:rPr>
        <w:t>Novotny &amp; Company</w:t>
      </w:r>
    </w:p>
    <w:p w:rsidR="006F237F" w:rsidRDefault="006F237F">
      <w:r>
        <w:rPr>
          <w:rFonts w:ascii="Helvetica" w:hAnsi="Helvetica" w:cs="Helvetica"/>
          <w:color w:val="404040"/>
          <w:shd w:val="clear" w:color="auto" w:fill="FFFFFF"/>
        </w:rPr>
        <w:t>Located in Houston, Novotny &amp; Company provides property tax consultancy services for businesses and individuals throughout Texas. One of the services offered by Novotny &amp; Company involves representing clients during binding arbitration.</w:t>
      </w:r>
      <w:r>
        <w:rPr>
          <w:rStyle w:val="apple-converted-space"/>
          <w:rFonts w:ascii="Helvetica" w:hAnsi="Helvetica" w:cs="Helvetica"/>
          <w:color w:val="404040"/>
          <w:shd w:val="clear" w:color="auto" w:fill="FFFFFF"/>
        </w:rPr>
        <w:t> 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Texas established its </w:t>
      </w:r>
      <w:hyperlink r:id="rId4" w:history="1">
        <w:r w:rsidRPr="006F237F">
          <w:rPr>
            <w:rStyle w:val="Hyperlink"/>
            <w:rFonts w:ascii="Helvetica" w:hAnsi="Helvetica" w:cs="Helvetica"/>
            <w:shd w:val="clear" w:color="auto" w:fill="FFFFFF"/>
          </w:rPr>
          <w:t>binding arbitration</w:t>
        </w:r>
      </w:hyperlink>
      <w:r>
        <w:rPr>
          <w:rFonts w:ascii="Helvetica" w:hAnsi="Helvetica" w:cs="Helvetica"/>
          <w:color w:val="404040"/>
          <w:shd w:val="clear" w:color="auto" w:fill="FFFFFF"/>
        </w:rPr>
        <w:t xml:space="preserve"> laws to assist residents in determining property value if there is a dispute over the worth of a piece of real or personal property. It occurs if the county appraisal review board (ARB) issues a valuation with which the owner disagrees. To receive binding arbitration, the total for personal property must be less than $1 million while there are no limits for residence homesteads. Moreover, taxes must be fully paid and a lawsuit cannot have been filed prior to requesting binding arbitration.</w:t>
      </w:r>
      <w:r>
        <w:rPr>
          <w:rStyle w:val="apple-converted-space"/>
          <w:rFonts w:ascii="Helvetica" w:hAnsi="Helvetica" w:cs="Helvetica"/>
          <w:color w:val="404040"/>
          <w:shd w:val="clear" w:color="auto" w:fill="FFFFFF"/>
        </w:rPr>
        <w:t> 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>To commence the process, the property owner must complete AP-219, Request for Binding Arbitration, within 45 days of receiving their ARB assessment. If approved, an independent, impartial arbitrator will listen to the facts from both parties and make a binding decision on the value of the property.</w:t>
      </w:r>
    </w:p>
    <w:sectPr w:rsidR="006F237F" w:rsidSect="00812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F237F"/>
    <w:rsid w:val="006F237F"/>
    <w:rsid w:val="008122F0"/>
    <w:rsid w:val="00E644C6"/>
    <w:rsid w:val="00F1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237F"/>
  </w:style>
  <w:style w:type="character" w:styleId="Hyperlink">
    <w:name w:val="Hyperlink"/>
    <w:basedOn w:val="DefaultParagraphFont"/>
    <w:uiPriority w:val="99"/>
    <w:unhideWhenUsed/>
    <w:rsid w:val="006F23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Arbitration&#820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Shekinah</dc:creator>
  <cp:lastModifiedBy>Shekinah</cp:lastModifiedBy>
  <cp:revision>1</cp:revision>
  <dcterms:created xsi:type="dcterms:W3CDTF">2013-11-20T03:45:00Z</dcterms:created>
  <dcterms:modified xsi:type="dcterms:W3CDTF">2013-11-20T03:46:00Z</dcterms:modified>
</cp:coreProperties>
</file>