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94A1" w14:textId="77777777" w:rsidR="00FF7DBB" w:rsidRDefault="00FF7DBB">
      <w:bookmarkStart w:id="0" w:name="_GoBack"/>
      <w:bookmarkEnd w:id="0"/>
      <w:r>
        <w:t>Clinton Long</w:t>
      </w:r>
    </w:p>
    <w:p w14:paraId="68719976" w14:textId="77777777" w:rsidR="00FF7DBB" w:rsidRDefault="00856B97">
      <w:r>
        <w:t>Industry Analysis Report</w:t>
      </w:r>
    </w:p>
    <w:p w14:paraId="69192DD0" w14:textId="77777777" w:rsidR="00FF7DBB" w:rsidRDefault="00FF7DBB"/>
    <w:p w14:paraId="05FF7EA0" w14:textId="77777777" w:rsidR="00FF7DBB" w:rsidRDefault="00FF7DBB" w:rsidP="00FF7DBB">
      <w:pPr>
        <w:jc w:val="center"/>
        <w:rPr>
          <w:sz w:val="56"/>
          <w:szCs w:val="56"/>
        </w:rPr>
      </w:pPr>
      <w:r>
        <w:rPr>
          <w:sz w:val="56"/>
          <w:szCs w:val="56"/>
        </w:rPr>
        <w:t>Oil and Gas</w:t>
      </w:r>
      <w:r w:rsidR="00856B97">
        <w:rPr>
          <w:sz w:val="56"/>
          <w:szCs w:val="56"/>
        </w:rPr>
        <w:t xml:space="preserve"> Industry</w:t>
      </w:r>
    </w:p>
    <w:p w14:paraId="35A96F7B" w14:textId="77777777" w:rsidR="00FF7DBB" w:rsidRDefault="00FF7DBB" w:rsidP="00FF7DBB">
      <w:pPr>
        <w:jc w:val="center"/>
        <w:rPr>
          <w:sz w:val="56"/>
          <w:szCs w:val="56"/>
        </w:rPr>
      </w:pPr>
    </w:p>
    <w:p w14:paraId="402693BB" w14:textId="77777777" w:rsidR="00FF7DBB" w:rsidRDefault="00FF7DBB" w:rsidP="00FF7DBB">
      <w:r w:rsidRPr="00777FC8">
        <w:rPr>
          <w:b/>
        </w:rPr>
        <w:t>Industry Identification:</w:t>
      </w:r>
      <w:r>
        <w:t xml:space="preserve"> SIC Code = 13</w:t>
      </w:r>
    </w:p>
    <w:p w14:paraId="22FE42CE" w14:textId="77777777" w:rsidR="00FF7DBB" w:rsidRDefault="00FF7DBB" w:rsidP="00FF7DBB"/>
    <w:p w14:paraId="0F559276" w14:textId="77777777" w:rsidR="00FF7DBB" w:rsidRPr="00385118" w:rsidRDefault="00FF7DBB" w:rsidP="00FF7DBB">
      <w:pPr>
        <w:rPr>
          <w:b/>
          <w:color w:val="008000"/>
          <w:sz w:val="32"/>
          <w:szCs w:val="32"/>
        </w:rPr>
      </w:pPr>
      <w:r w:rsidRPr="00385118">
        <w:rPr>
          <w:b/>
          <w:color w:val="008000"/>
          <w:sz w:val="32"/>
          <w:szCs w:val="32"/>
        </w:rPr>
        <w:t>Industry Overview:</w:t>
      </w:r>
    </w:p>
    <w:p w14:paraId="60E06021" w14:textId="77777777" w:rsidR="00392BC9" w:rsidRDefault="00392BC9" w:rsidP="00FF7DBB">
      <w:r>
        <w:t>The following is a brief summary of the oil and Gas timeline and history.</w:t>
      </w:r>
    </w:p>
    <w:tbl>
      <w:tblPr>
        <w:tblW w:w="7635" w:type="dxa"/>
        <w:shd w:val="clear" w:color="auto" w:fill="FFFFFF"/>
        <w:tblCellMar>
          <w:top w:w="80" w:type="dxa"/>
          <w:left w:w="80" w:type="dxa"/>
          <w:bottom w:w="80" w:type="dxa"/>
          <w:right w:w="80" w:type="dxa"/>
        </w:tblCellMar>
        <w:tblLook w:val="04A0" w:firstRow="1" w:lastRow="0" w:firstColumn="1" w:lastColumn="0" w:noHBand="0" w:noVBand="1"/>
      </w:tblPr>
      <w:tblGrid>
        <w:gridCol w:w="1104"/>
        <w:gridCol w:w="6531"/>
      </w:tblGrid>
      <w:tr w:rsidR="002D2021" w:rsidRPr="00AD37DC" w14:paraId="62250844" w14:textId="77777777" w:rsidTr="002D2021">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1AD4B2B9" w14:textId="77777777" w:rsidR="002D2021" w:rsidRPr="00AD37DC" w:rsidRDefault="002D2021" w:rsidP="002D2021">
            <w:pPr>
              <w:spacing w:line="270" w:lineRule="atLeast"/>
              <w:rPr>
                <w:rFonts w:ascii="Arial" w:eastAsia="Times New Roman" w:hAnsi="Arial" w:cs="Arial"/>
                <w:color w:val="666666"/>
              </w:rPr>
            </w:pPr>
            <w:r w:rsidRPr="00AD37DC">
              <w:rPr>
                <w:rFonts w:ascii="Arial" w:eastAsia="Times New Roman" w:hAnsi="Arial" w:cs="Arial"/>
                <w:b/>
                <w:bCs/>
                <w:color w:val="666666"/>
              </w:rPr>
              <w:t>450 BC</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6CD929C9" w14:textId="77777777" w:rsidR="002D2021" w:rsidRPr="00AD37DC" w:rsidRDefault="002D2021" w:rsidP="002D2021">
            <w:pPr>
              <w:spacing w:line="270" w:lineRule="atLeast"/>
              <w:rPr>
                <w:rFonts w:ascii="Arial" w:eastAsia="Times New Roman" w:hAnsi="Arial" w:cs="Arial"/>
                <w:color w:val="666666"/>
              </w:rPr>
            </w:pPr>
            <w:r w:rsidRPr="00AD37DC">
              <w:rPr>
                <w:rFonts w:ascii="Arial" w:eastAsia="Times New Roman" w:hAnsi="Arial" w:cs="Arial"/>
                <w:color w:val="666666"/>
              </w:rPr>
              <w:t>Herodotus described oil pits near Babylon</w:t>
            </w:r>
          </w:p>
        </w:tc>
      </w:tr>
      <w:tr w:rsidR="00392BC9" w:rsidRPr="00AD37DC" w14:paraId="738D2D8D"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41BB0978"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325 BC</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3F672898"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Alexander the Great used flaming torches of petroleum products to scare his enemies.</w:t>
            </w:r>
          </w:p>
        </w:tc>
      </w:tr>
      <w:tr w:rsidR="00392BC9" w:rsidRPr="00AD37DC" w14:paraId="31484CCD"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0A196E5D" w14:textId="77777777" w:rsidR="00392BC9" w:rsidRPr="00AD37DC" w:rsidRDefault="00392BC9" w:rsidP="00392BC9">
            <w:pPr>
              <w:spacing w:line="270" w:lineRule="atLeast"/>
              <w:rPr>
                <w:rFonts w:ascii="Arial" w:eastAsia="Times New Roman" w:hAnsi="Arial" w:cs="Arial"/>
                <w:b/>
                <w:bCs/>
                <w:color w:val="666666"/>
              </w:rPr>
            </w:pPr>
            <w:proofErr w:type="gramStart"/>
            <w:r w:rsidRPr="00AD37DC">
              <w:rPr>
                <w:rFonts w:ascii="Arial" w:eastAsia="Times New Roman" w:hAnsi="Arial" w:cs="Arial"/>
                <w:b/>
                <w:bCs/>
                <w:color w:val="666666"/>
              </w:rPr>
              <w:t>c100</w:t>
            </w:r>
            <w:proofErr w:type="gramEnd"/>
            <w:r w:rsidRPr="00AD37DC">
              <w:rPr>
                <w:rFonts w:ascii="Arial" w:eastAsia="Times New Roman" w:hAnsi="Arial" w:cs="Arial"/>
                <w:b/>
                <w:bCs/>
                <w:color w:val="666666"/>
              </w:rPr>
              <w:t xml:space="preserve"> AD</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0CABAE3F"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Plutarch described oil bubbling from the ground near Kirkuk in present day Iraq.</w:t>
            </w:r>
          </w:p>
        </w:tc>
      </w:tr>
      <w:tr w:rsidR="00392BC9" w:rsidRPr="00AD37DC" w14:paraId="54E1F2B7"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3DB72ADE"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347AD</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36F44AAF"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Chinese drilled holes in ground using bamboo to extract oil.</w:t>
            </w:r>
          </w:p>
        </w:tc>
      </w:tr>
      <w:tr w:rsidR="00392BC9" w:rsidRPr="00AD37DC" w14:paraId="4DF48F72"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7B2939D5"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1264</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779C9B09"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When visiting the Persian city of Baku (now Azerbaijan), Marco Polo recorded oil being collected from seeps for use in medicine and lighting.</w:t>
            </w:r>
          </w:p>
        </w:tc>
      </w:tr>
      <w:tr w:rsidR="00392BC9" w:rsidRPr="00AD37DC" w14:paraId="2803D422"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3A2FE6E6"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1800</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5AB9E144"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 xml:space="preserve">Oil from seeps in the Carpathian Mountains in Poland was burned in street lamps to provide light in the Polish town of </w:t>
            </w:r>
            <w:proofErr w:type="spellStart"/>
            <w:r w:rsidRPr="00AD37DC">
              <w:rPr>
                <w:rFonts w:ascii="Arial" w:eastAsia="Times New Roman" w:hAnsi="Arial" w:cs="Arial"/>
                <w:color w:val="666666"/>
              </w:rPr>
              <w:t>Krosno</w:t>
            </w:r>
            <w:proofErr w:type="spellEnd"/>
            <w:r w:rsidRPr="00AD37DC">
              <w:rPr>
                <w:rFonts w:ascii="Arial" w:eastAsia="Times New Roman" w:hAnsi="Arial" w:cs="Arial"/>
                <w:color w:val="666666"/>
              </w:rPr>
              <w:t>.</w:t>
            </w:r>
          </w:p>
        </w:tc>
      </w:tr>
      <w:tr w:rsidR="00392BC9" w:rsidRPr="00AD37DC" w14:paraId="37CA5B61"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35EDDB71"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1807</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010855A5"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Streets of London lit by coal oil.</w:t>
            </w:r>
          </w:p>
        </w:tc>
      </w:tr>
      <w:tr w:rsidR="00392BC9" w:rsidRPr="00AD37DC" w14:paraId="5CDF5AFB"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69207A2B"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1814 </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1DFBB870"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One of the first wells that produced oil on a commercial scale was drilled near Marietta, Ohio. The well was almost 500 feet deep and produced about a barrel or so of oil per week.</w:t>
            </w:r>
          </w:p>
        </w:tc>
      </w:tr>
      <w:tr w:rsidR="00392BC9" w:rsidRPr="00AD37DC" w14:paraId="230932E0" w14:textId="77777777" w:rsidTr="00392BC9">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7FB23528" w14:textId="77777777" w:rsidR="00392BC9" w:rsidRPr="00AD37DC" w:rsidRDefault="00392BC9" w:rsidP="00392BC9">
            <w:pPr>
              <w:spacing w:line="270" w:lineRule="atLeast"/>
              <w:rPr>
                <w:rFonts w:ascii="Arial" w:eastAsia="Times New Roman" w:hAnsi="Arial" w:cs="Arial"/>
                <w:b/>
                <w:bCs/>
                <w:color w:val="666666"/>
              </w:rPr>
            </w:pPr>
            <w:r w:rsidRPr="00AD37DC">
              <w:rPr>
                <w:rFonts w:ascii="Arial" w:eastAsia="Times New Roman" w:hAnsi="Arial" w:cs="Arial"/>
                <w:b/>
                <w:bCs/>
                <w:color w:val="666666"/>
              </w:rPr>
              <w:t>1849 </w:t>
            </w:r>
          </w:p>
        </w:tc>
        <w:tc>
          <w:tcPr>
            <w:tcW w:w="0" w:type="auto"/>
            <w:tcBorders>
              <w:top w:val="single" w:sz="6" w:space="0" w:color="DEDEDE"/>
              <w:left w:val="single" w:sz="6" w:space="0" w:color="DEDEDE"/>
              <w:bottom w:val="single" w:sz="6" w:space="0" w:color="DEDEDE"/>
              <w:right w:val="single" w:sz="6" w:space="0" w:color="DEDEDE"/>
            </w:tcBorders>
            <w:shd w:val="clear" w:color="auto" w:fill="F6F6F6"/>
            <w:tcMar>
              <w:top w:w="225" w:type="dxa"/>
              <w:left w:w="150" w:type="dxa"/>
              <w:bottom w:w="90" w:type="dxa"/>
              <w:right w:w="150" w:type="dxa"/>
            </w:tcMar>
            <w:vAlign w:val="center"/>
            <w:hideMark/>
          </w:tcPr>
          <w:p w14:paraId="72AE47E6" w14:textId="77777777" w:rsidR="00392BC9" w:rsidRPr="00AD37DC" w:rsidRDefault="00392BC9" w:rsidP="00392BC9">
            <w:pPr>
              <w:spacing w:line="270" w:lineRule="atLeast"/>
              <w:rPr>
                <w:rFonts w:ascii="Arial" w:eastAsia="Times New Roman" w:hAnsi="Arial" w:cs="Arial"/>
                <w:color w:val="666666"/>
              </w:rPr>
            </w:pPr>
            <w:r w:rsidRPr="00AD37DC">
              <w:rPr>
                <w:rFonts w:ascii="Arial" w:eastAsia="Times New Roman" w:hAnsi="Arial" w:cs="Arial"/>
                <w:color w:val="666666"/>
              </w:rPr>
              <w:t>Abraham Gesner developed a method for distilling kerosene from crude oil.</w:t>
            </w:r>
          </w:p>
        </w:tc>
      </w:tr>
    </w:tbl>
    <w:p w14:paraId="32F179A4" w14:textId="77777777" w:rsidR="00FF7DBB" w:rsidRPr="00AD37DC" w:rsidRDefault="00FF7DBB" w:rsidP="00FF7DBB">
      <w:pPr>
        <w:rPr>
          <w: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4D4603E" w14:textId="77777777" w:rsidR="00AD37DC" w:rsidRDefault="00AD37DC" w:rsidP="00392BC9">
      <w:pPr>
        <w:rPr>
          <w:b/>
        </w:rPr>
      </w:pPr>
    </w:p>
    <w:p w14:paraId="127D184C" w14:textId="77777777" w:rsidR="00AD37DC" w:rsidRPr="00AD37DC" w:rsidRDefault="00777FC8" w:rsidP="00392BC9">
      <w:pPr>
        <w:rPr>
          <w:b/>
          <w:sz w:val="28"/>
          <w:szCs w:val="28"/>
        </w:rPr>
      </w:pPr>
      <w:r w:rsidRPr="00AD37DC">
        <w:rPr>
          <w:b/>
          <w:sz w:val="28"/>
          <w:szCs w:val="28"/>
        </w:rPr>
        <w:lastRenderedPageBreak/>
        <w:t>Factors that affect growth:</w:t>
      </w:r>
    </w:p>
    <w:p w14:paraId="6419D321" w14:textId="77777777" w:rsidR="00777FC8" w:rsidRPr="00AD37DC" w:rsidRDefault="00777FC8" w:rsidP="00777FC8">
      <w:pPr>
        <w:pStyle w:val="ListParagraph"/>
        <w:numPr>
          <w:ilvl w:val="0"/>
          <w:numId w:val="1"/>
        </w:numPr>
        <w:rPr>
          <w:b/>
          <w:sz w:val="28"/>
          <w:szCs w:val="28"/>
        </w:rPr>
      </w:pPr>
      <w:r w:rsidRPr="00AD37DC">
        <w:rPr>
          <w:sz w:val="28"/>
          <w:szCs w:val="28"/>
        </w:rPr>
        <w:t>Natural Disasters and extreme weather conditions</w:t>
      </w:r>
    </w:p>
    <w:p w14:paraId="4DC589AE" w14:textId="77777777" w:rsidR="00777FC8" w:rsidRPr="00AD37DC" w:rsidRDefault="00777FC8" w:rsidP="00777FC8">
      <w:pPr>
        <w:pStyle w:val="ListParagraph"/>
        <w:numPr>
          <w:ilvl w:val="0"/>
          <w:numId w:val="1"/>
        </w:numPr>
        <w:rPr>
          <w:b/>
          <w:sz w:val="28"/>
          <w:szCs w:val="28"/>
        </w:rPr>
      </w:pPr>
      <w:r w:rsidRPr="00AD37DC">
        <w:rPr>
          <w:sz w:val="28"/>
          <w:szCs w:val="28"/>
        </w:rPr>
        <w:t>Inability to expand or renew reserves</w:t>
      </w:r>
    </w:p>
    <w:p w14:paraId="2E3FB93F" w14:textId="77777777" w:rsidR="00777FC8" w:rsidRPr="00AD37DC" w:rsidRDefault="00777FC8" w:rsidP="00777FC8">
      <w:pPr>
        <w:pStyle w:val="ListParagraph"/>
        <w:numPr>
          <w:ilvl w:val="0"/>
          <w:numId w:val="1"/>
        </w:numPr>
        <w:rPr>
          <w:b/>
          <w:sz w:val="28"/>
          <w:szCs w:val="28"/>
        </w:rPr>
      </w:pPr>
      <w:r w:rsidRPr="00AD37DC">
        <w:rPr>
          <w:sz w:val="28"/>
          <w:szCs w:val="28"/>
        </w:rPr>
        <w:t>Environmental restrictions and regulations</w:t>
      </w:r>
    </w:p>
    <w:p w14:paraId="5DB261FA" w14:textId="77777777" w:rsidR="00777FC8" w:rsidRPr="00AD37DC" w:rsidRDefault="00777FC8" w:rsidP="00777FC8">
      <w:pPr>
        <w:pStyle w:val="ListParagraph"/>
        <w:numPr>
          <w:ilvl w:val="0"/>
          <w:numId w:val="1"/>
        </w:numPr>
        <w:rPr>
          <w:b/>
          <w:sz w:val="28"/>
          <w:szCs w:val="28"/>
        </w:rPr>
      </w:pPr>
      <w:r w:rsidRPr="00AD37DC">
        <w:rPr>
          <w:sz w:val="28"/>
          <w:szCs w:val="28"/>
        </w:rPr>
        <w:t>Industry Competition</w:t>
      </w:r>
    </w:p>
    <w:p w14:paraId="1F65A796" w14:textId="77777777" w:rsidR="00777FC8" w:rsidRPr="00AD37DC" w:rsidRDefault="00777FC8" w:rsidP="00777FC8">
      <w:pPr>
        <w:pStyle w:val="ListParagraph"/>
        <w:numPr>
          <w:ilvl w:val="0"/>
          <w:numId w:val="1"/>
        </w:numPr>
        <w:rPr>
          <w:b/>
          <w:sz w:val="28"/>
          <w:szCs w:val="28"/>
        </w:rPr>
      </w:pPr>
      <w:r w:rsidRPr="00AD37DC">
        <w:rPr>
          <w:sz w:val="28"/>
          <w:szCs w:val="28"/>
        </w:rPr>
        <w:t>Volatile Oil and Gas prices</w:t>
      </w:r>
    </w:p>
    <w:p w14:paraId="19DAF153" w14:textId="77777777" w:rsidR="00777FC8" w:rsidRPr="00AD37DC" w:rsidRDefault="00777FC8" w:rsidP="00777FC8">
      <w:pPr>
        <w:ind w:left="360"/>
        <w:rPr>
          <w:b/>
          <w:sz w:val="28"/>
          <w:szCs w:val="28"/>
        </w:rPr>
      </w:pPr>
      <w:r w:rsidRPr="00AD37DC">
        <w:rPr>
          <w:b/>
          <w:sz w:val="28"/>
          <w:szCs w:val="28"/>
        </w:rPr>
        <w:t>Leading Businesses in the Industry:</w:t>
      </w:r>
    </w:p>
    <w:p w14:paraId="7F68A9BB" w14:textId="77777777" w:rsidR="00AD37DC" w:rsidRPr="00AD37DC" w:rsidRDefault="00AD37DC" w:rsidP="00777FC8">
      <w:pPr>
        <w:ind w:left="360"/>
        <w:rPr>
          <w:b/>
          <w:sz w:val="28"/>
          <w:szCs w:val="28"/>
        </w:rPr>
      </w:pPr>
    </w:p>
    <w:p w14:paraId="6D446E0E" w14:textId="77777777" w:rsidR="00777FC8" w:rsidRPr="00AD37DC" w:rsidRDefault="00777FC8" w:rsidP="008B7D91">
      <w:pPr>
        <w:pStyle w:val="ListParagraph"/>
        <w:numPr>
          <w:ilvl w:val="0"/>
          <w:numId w:val="2"/>
        </w:numPr>
        <w:rPr>
          <w:sz w:val="28"/>
          <w:szCs w:val="28"/>
        </w:rPr>
      </w:pPr>
      <w:r w:rsidRPr="00AD37DC">
        <w:rPr>
          <w:sz w:val="28"/>
          <w:szCs w:val="28"/>
        </w:rPr>
        <w:t>Saudi Aramco</w:t>
      </w:r>
      <w:r w:rsidR="008B7D91" w:rsidRPr="00AD37DC">
        <w:rPr>
          <w:sz w:val="28"/>
          <w:szCs w:val="28"/>
        </w:rPr>
        <w:t xml:space="preserve"> – 12.5 Million Barrels per day</w:t>
      </w:r>
    </w:p>
    <w:p w14:paraId="753F0A7D" w14:textId="77777777" w:rsidR="008B7D91" w:rsidRPr="00AD37DC" w:rsidRDefault="008B7D91" w:rsidP="008B7D91">
      <w:pPr>
        <w:pStyle w:val="ListParagraph"/>
        <w:numPr>
          <w:ilvl w:val="0"/>
          <w:numId w:val="2"/>
        </w:numPr>
        <w:rPr>
          <w:sz w:val="28"/>
          <w:szCs w:val="28"/>
        </w:rPr>
      </w:pPr>
      <w:r w:rsidRPr="00AD37DC">
        <w:rPr>
          <w:sz w:val="28"/>
          <w:szCs w:val="28"/>
        </w:rPr>
        <w:t>Gazprom – 9.7 Million Barrels per day</w:t>
      </w:r>
    </w:p>
    <w:p w14:paraId="0E8263E9" w14:textId="77777777" w:rsidR="008B7D91" w:rsidRPr="00AD37DC" w:rsidRDefault="008B7D91" w:rsidP="008B7D91">
      <w:pPr>
        <w:pStyle w:val="ListParagraph"/>
        <w:numPr>
          <w:ilvl w:val="0"/>
          <w:numId w:val="2"/>
        </w:numPr>
        <w:rPr>
          <w:sz w:val="28"/>
          <w:szCs w:val="28"/>
        </w:rPr>
      </w:pPr>
      <w:r w:rsidRPr="00AD37DC">
        <w:rPr>
          <w:sz w:val="28"/>
          <w:szCs w:val="28"/>
        </w:rPr>
        <w:t>National Iranian Oil Company – 6.4 Million Barrels per day</w:t>
      </w:r>
    </w:p>
    <w:p w14:paraId="3B3F96EB" w14:textId="77777777" w:rsidR="008B7D91" w:rsidRPr="00AD37DC" w:rsidRDefault="008B7D91" w:rsidP="008B7D91">
      <w:pPr>
        <w:pStyle w:val="ListParagraph"/>
        <w:numPr>
          <w:ilvl w:val="0"/>
          <w:numId w:val="2"/>
        </w:numPr>
        <w:rPr>
          <w:sz w:val="28"/>
          <w:szCs w:val="28"/>
        </w:rPr>
      </w:pPr>
      <w:r w:rsidRPr="00AD37DC">
        <w:rPr>
          <w:sz w:val="28"/>
          <w:szCs w:val="28"/>
        </w:rPr>
        <w:t>ExxonMobil – 5.3 Million Barrels per day</w:t>
      </w:r>
    </w:p>
    <w:p w14:paraId="118D94D5" w14:textId="77777777" w:rsidR="008B7D91" w:rsidRPr="00AD37DC" w:rsidRDefault="008B7D91" w:rsidP="008B7D91">
      <w:pPr>
        <w:pStyle w:val="ListParagraph"/>
        <w:numPr>
          <w:ilvl w:val="0"/>
          <w:numId w:val="2"/>
        </w:numPr>
        <w:rPr>
          <w:sz w:val="28"/>
          <w:szCs w:val="28"/>
        </w:rPr>
      </w:pPr>
      <w:r w:rsidRPr="00AD37DC">
        <w:rPr>
          <w:sz w:val="28"/>
          <w:szCs w:val="28"/>
        </w:rPr>
        <w:t>Petro China – 4.4 Million Barrels per day</w:t>
      </w:r>
    </w:p>
    <w:p w14:paraId="7F937296" w14:textId="77777777" w:rsidR="008B7D91" w:rsidRPr="00AD37DC" w:rsidRDefault="008B7D91" w:rsidP="008B7D91">
      <w:pPr>
        <w:rPr>
          <w:sz w:val="28"/>
          <w:szCs w:val="28"/>
        </w:rPr>
      </w:pPr>
    </w:p>
    <w:p w14:paraId="569FE212" w14:textId="77777777" w:rsidR="008B7D91" w:rsidRPr="00AD37DC" w:rsidRDefault="008B7D91" w:rsidP="008B7D91">
      <w:pPr>
        <w:rPr>
          <w:b/>
          <w:sz w:val="28"/>
          <w:szCs w:val="28"/>
        </w:rPr>
      </w:pPr>
      <w:r w:rsidRPr="00AD37DC">
        <w:rPr>
          <w:b/>
          <w:sz w:val="28"/>
          <w:szCs w:val="28"/>
        </w:rPr>
        <w:t>Trends in Sales over recent years:</w:t>
      </w:r>
    </w:p>
    <w:p w14:paraId="4EB0B6DD" w14:textId="77777777" w:rsidR="00AD37DC" w:rsidRPr="00AD37DC" w:rsidRDefault="00AD37DC" w:rsidP="008B7D91">
      <w:pPr>
        <w:rPr>
          <w:b/>
          <w:sz w:val="28"/>
          <w:szCs w:val="28"/>
        </w:rPr>
      </w:pPr>
    </w:p>
    <w:p w14:paraId="6C640C75" w14:textId="77777777" w:rsidR="00777FC8" w:rsidRPr="00AD37DC" w:rsidRDefault="0052354F" w:rsidP="0052354F">
      <w:pPr>
        <w:pStyle w:val="ListParagraph"/>
        <w:numPr>
          <w:ilvl w:val="0"/>
          <w:numId w:val="3"/>
        </w:numPr>
        <w:rPr>
          <w:sz w:val="28"/>
          <w:szCs w:val="28"/>
        </w:rPr>
      </w:pPr>
      <w:r w:rsidRPr="00AD37DC">
        <w:rPr>
          <w:sz w:val="28"/>
          <w:szCs w:val="28"/>
        </w:rPr>
        <w:t>The technology supply chain is increasing the need for cyber risk management</w:t>
      </w:r>
    </w:p>
    <w:p w14:paraId="553ECBFB" w14:textId="77777777" w:rsidR="0052354F" w:rsidRPr="00AD37DC" w:rsidRDefault="0052354F" w:rsidP="0052354F">
      <w:pPr>
        <w:pStyle w:val="ListParagraph"/>
        <w:numPr>
          <w:ilvl w:val="0"/>
          <w:numId w:val="3"/>
        </w:numPr>
        <w:rPr>
          <w:sz w:val="28"/>
          <w:szCs w:val="28"/>
        </w:rPr>
      </w:pPr>
      <w:r w:rsidRPr="00AD37DC">
        <w:rPr>
          <w:sz w:val="28"/>
          <w:szCs w:val="28"/>
        </w:rPr>
        <w:t>Cyber risk management will be more customized</w:t>
      </w:r>
    </w:p>
    <w:p w14:paraId="6524302D" w14:textId="77777777" w:rsidR="0052354F" w:rsidRPr="00AD37DC" w:rsidRDefault="0052354F" w:rsidP="0052354F">
      <w:pPr>
        <w:pStyle w:val="ListParagraph"/>
        <w:numPr>
          <w:ilvl w:val="0"/>
          <w:numId w:val="3"/>
        </w:numPr>
        <w:rPr>
          <w:sz w:val="28"/>
          <w:szCs w:val="28"/>
        </w:rPr>
      </w:pPr>
      <w:r w:rsidRPr="00AD37DC">
        <w:rPr>
          <w:sz w:val="28"/>
          <w:szCs w:val="28"/>
        </w:rPr>
        <w:t>Future competitive advantages depend on technological innovation</w:t>
      </w:r>
    </w:p>
    <w:p w14:paraId="38591FF1" w14:textId="77777777" w:rsidR="0052354F" w:rsidRPr="00AD37DC" w:rsidRDefault="0052354F" w:rsidP="0052354F">
      <w:pPr>
        <w:pStyle w:val="ListParagraph"/>
        <w:numPr>
          <w:ilvl w:val="0"/>
          <w:numId w:val="3"/>
        </w:numPr>
        <w:rPr>
          <w:sz w:val="28"/>
          <w:szCs w:val="28"/>
        </w:rPr>
      </w:pPr>
      <w:r w:rsidRPr="00AD37DC">
        <w:rPr>
          <w:sz w:val="28"/>
          <w:szCs w:val="28"/>
        </w:rPr>
        <w:t>An aging workforce s creating higher risk managements, infrastructures and risk managements</w:t>
      </w:r>
    </w:p>
    <w:p w14:paraId="4E2B221D" w14:textId="77777777" w:rsidR="003829F0" w:rsidRPr="00AD37DC" w:rsidRDefault="003829F0" w:rsidP="0052354F">
      <w:pPr>
        <w:pStyle w:val="ListParagraph"/>
        <w:numPr>
          <w:ilvl w:val="0"/>
          <w:numId w:val="3"/>
        </w:numPr>
        <w:rPr>
          <w:sz w:val="28"/>
          <w:szCs w:val="28"/>
        </w:rPr>
      </w:pPr>
      <w:r w:rsidRPr="00AD37DC">
        <w:rPr>
          <w:sz w:val="28"/>
          <w:szCs w:val="28"/>
        </w:rPr>
        <w:t>Data continues to create differentiates</w:t>
      </w:r>
    </w:p>
    <w:p w14:paraId="67C889E6" w14:textId="77777777" w:rsidR="003829F0" w:rsidRPr="00AD37DC" w:rsidRDefault="003829F0" w:rsidP="003829F0">
      <w:pPr>
        <w:rPr>
          <w:sz w:val="28"/>
          <w:szCs w:val="28"/>
        </w:rPr>
      </w:pPr>
    </w:p>
    <w:p w14:paraId="135F34D1" w14:textId="77777777" w:rsidR="00F824E3" w:rsidRPr="00AD37DC" w:rsidRDefault="00F824E3" w:rsidP="003829F0">
      <w:pPr>
        <w:rPr>
          <w:b/>
          <w:sz w:val="28"/>
          <w:szCs w:val="28"/>
        </w:rPr>
      </w:pPr>
      <w:r w:rsidRPr="00AD37DC">
        <w:rPr>
          <w:b/>
          <w:sz w:val="28"/>
          <w:szCs w:val="28"/>
        </w:rPr>
        <w:t>Marketing Strategies for Oil and Gas Companies:</w:t>
      </w:r>
    </w:p>
    <w:p w14:paraId="4679FDDB" w14:textId="77777777" w:rsidR="00AD37DC" w:rsidRPr="00AD37DC" w:rsidRDefault="00AD37DC" w:rsidP="003829F0">
      <w:pPr>
        <w:rPr>
          <w:b/>
          <w:sz w:val="28"/>
          <w:szCs w:val="28"/>
        </w:rPr>
      </w:pPr>
    </w:p>
    <w:p w14:paraId="510CA2C8" w14:textId="77777777" w:rsidR="00F824E3" w:rsidRPr="00AD37DC" w:rsidRDefault="00F824E3" w:rsidP="00F824E3">
      <w:pPr>
        <w:rPr>
          <w:rFonts w:eastAsia="Times New Roman" w:cs="Times New Roman"/>
          <w:color w:val="000000" w:themeColor="text1"/>
          <w:sz w:val="28"/>
          <w:szCs w:val="28"/>
        </w:rPr>
      </w:pPr>
      <w:r w:rsidRPr="00AD37DC">
        <w:rPr>
          <w:rFonts w:eastAsia="Times New Roman" w:cs="Times New Roman"/>
          <w:color w:val="000000" w:themeColor="text1"/>
          <w:sz w:val="28"/>
          <w:szCs w:val="28"/>
        </w:rPr>
        <w:t xml:space="preserve">1) Gasoline and low </w:t>
      </w:r>
      <w:proofErr w:type="spellStart"/>
      <w:r w:rsidRPr="00AD37DC">
        <w:rPr>
          <w:rFonts w:eastAsia="Times New Roman" w:cs="Times New Roman"/>
          <w:color w:val="000000" w:themeColor="text1"/>
          <w:sz w:val="28"/>
          <w:szCs w:val="28"/>
        </w:rPr>
        <w:t>sulphur</w:t>
      </w:r>
      <w:proofErr w:type="spellEnd"/>
      <w:r w:rsidRPr="00AD37DC">
        <w:rPr>
          <w:rFonts w:eastAsia="Times New Roman" w:cs="Times New Roman"/>
          <w:color w:val="000000" w:themeColor="text1"/>
          <w:sz w:val="28"/>
          <w:szCs w:val="28"/>
        </w:rPr>
        <w:t xml:space="preserve"> diesel to drivers via service stations and 3rd parties who have their own service stations.</w:t>
      </w:r>
      <w:r w:rsidRPr="00AD37DC">
        <w:rPr>
          <w:rFonts w:eastAsia="Times New Roman" w:cs="Times New Roman"/>
          <w:color w:val="000000" w:themeColor="text1"/>
          <w:sz w:val="28"/>
          <w:szCs w:val="28"/>
        </w:rPr>
        <w:br/>
        <w:t>2) Jet fuel to airports and airlines</w:t>
      </w:r>
      <w:r w:rsidRPr="00AD37DC">
        <w:rPr>
          <w:rFonts w:eastAsia="Times New Roman" w:cs="Times New Roman"/>
          <w:color w:val="000000" w:themeColor="text1"/>
          <w:sz w:val="28"/>
          <w:szCs w:val="28"/>
        </w:rPr>
        <w:br/>
        <w:t>3) Furnace fuel to homeowners and businesses</w:t>
      </w:r>
      <w:r w:rsidRPr="00AD37DC">
        <w:rPr>
          <w:rFonts w:eastAsia="Times New Roman" w:cs="Times New Roman"/>
          <w:color w:val="000000" w:themeColor="text1"/>
          <w:sz w:val="28"/>
          <w:szCs w:val="28"/>
        </w:rPr>
        <w:br/>
        <w:t>4) Lubricants &amp; waxes to industrial customers or retailers</w:t>
      </w:r>
      <w:r w:rsidRPr="00AD37DC">
        <w:rPr>
          <w:rFonts w:eastAsia="Times New Roman" w:cs="Times New Roman"/>
          <w:color w:val="000000" w:themeColor="text1"/>
          <w:sz w:val="28"/>
          <w:szCs w:val="28"/>
        </w:rPr>
        <w:br/>
        <w:t>5) Marine fuel to industrial customers such as government navies, as well as to individual boat owners.</w:t>
      </w:r>
      <w:r w:rsidRPr="00AD37DC">
        <w:rPr>
          <w:rFonts w:eastAsia="Times New Roman" w:cs="Times New Roman"/>
          <w:color w:val="000000" w:themeColor="text1"/>
          <w:sz w:val="28"/>
          <w:szCs w:val="28"/>
        </w:rPr>
        <w:br/>
        <w:t>6) Bunker fuel oil to fleets of large vessels like cruise ships or navies</w:t>
      </w:r>
    </w:p>
    <w:p w14:paraId="6CCDC5E5" w14:textId="77777777" w:rsidR="0052354F" w:rsidRPr="00AD37DC" w:rsidRDefault="0052354F" w:rsidP="003829F0">
      <w:pPr>
        <w:rPr>
          <w:color w:val="000000" w:themeColor="text1"/>
          <w:sz w:val="28"/>
          <w:szCs w:val="28"/>
        </w:rPr>
      </w:pPr>
    </w:p>
    <w:p w14:paraId="2D2DC9F8" w14:textId="77777777" w:rsidR="00C26CEA" w:rsidRPr="00AD37DC" w:rsidRDefault="00C26CEA" w:rsidP="003829F0">
      <w:pPr>
        <w:rPr>
          <w:b/>
          <w:color w:val="000000" w:themeColor="text1"/>
          <w:sz w:val="28"/>
          <w:szCs w:val="28"/>
        </w:rPr>
      </w:pPr>
      <w:r w:rsidRPr="00AD37DC">
        <w:rPr>
          <w:b/>
          <w:color w:val="000000" w:themeColor="text1"/>
          <w:sz w:val="28"/>
          <w:szCs w:val="28"/>
        </w:rPr>
        <w:t>The Oil and Gas industry is not seasonal but certain locations deal with weather conditions that slow down productions.</w:t>
      </w:r>
    </w:p>
    <w:p w14:paraId="50A9F899" w14:textId="77777777" w:rsidR="00385118" w:rsidRPr="00AD37DC" w:rsidRDefault="00385118" w:rsidP="003829F0">
      <w:pPr>
        <w:rPr>
          <w:b/>
          <w:color w:val="000000" w:themeColor="text1"/>
          <w:sz w:val="28"/>
          <w:szCs w:val="28"/>
        </w:rPr>
      </w:pPr>
    </w:p>
    <w:p w14:paraId="23B2E6B1" w14:textId="77777777" w:rsidR="00385118" w:rsidRPr="00AD37DC" w:rsidRDefault="00385118" w:rsidP="003829F0">
      <w:pPr>
        <w:rPr>
          <w:b/>
          <w:color w:val="000000" w:themeColor="text1"/>
          <w:sz w:val="28"/>
          <w:szCs w:val="28"/>
        </w:rPr>
      </w:pPr>
      <w:r w:rsidRPr="00AD37DC">
        <w:rPr>
          <w:b/>
          <w:color w:val="000000" w:themeColor="text1"/>
          <w:sz w:val="28"/>
          <w:szCs w:val="28"/>
        </w:rPr>
        <w:t>This industry is not sensitive to economic fluctuations</w:t>
      </w:r>
    </w:p>
    <w:p w14:paraId="2148D75D" w14:textId="77777777" w:rsidR="00AD37DC" w:rsidRDefault="00AD37DC" w:rsidP="003829F0">
      <w:pPr>
        <w:rPr>
          <w:b/>
          <w:color w:val="008000"/>
          <w:sz w:val="28"/>
          <w:szCs w:val="28"/>
        </w:rPr>
      </w:pPr>
    </w:p>
    <w:p w14:paraId="027AD412" w14:textId="77777777" w:rsidR="00AD37DC" w:rsidRDefault="00AD37DC" w:rsidP="003829F0">
      <w:pPr>
        <w:rPr>
          <w:b/>
          <w:color w:val="008000"/>
          <w:sz w:val="28"/>
          <w:szCs w:val="28"/>
        </w:rPr>
      </w:pPr>
    </w:p>
    <w:p w14:paraId="3D265C61" w14:textId="77777777" w:rsidR="00385118" w:rsidRDefault="00385118" w:rsidP="003829F0">
      <w:pPr>
        <w:rPr>
          <w:b/>
          <w:color w:val="008000"/>
          <w:sz w:val="28"/>
          <w:szCs w:val="28"/>
        </w:rPr>
      </w:pPr>
      <w:r w:rsidRPr="00A77034">
        <w:rPr>
          <w:b/>
          <w:color w:val="008000"/>
          <w:sz w:val="28"/>
          <w:szCs w:val="28"/>
        </w:rPr>
        <w:t>Industry Developments, News, Innovations,</w:t>
      </w:r>
      <w:r w:rsidR="00A77034" w:rsidRPr="00A77034">
        <w:rPr>
          <w:b/>
          <w:color w:val="008000"/>
          <w:sz w:val="28"/>
          <w:szCs w:val="28"/>
        </w:rPr>
        <w:t xml:space="preserve"> &amp; </w:t>
      </w:r>
      <w:r w:rsidR="00AD37DC" w:rsidRPr="00A77034">
        <w:rPr>
          <w:b/>
          <w:color w:val="008000"/>
          <w:sz w:val="28"/>
          <w:szCs w:val="28"/>
        </w:rPr>
        <w:t>Government</w:t>
      </w:r>
      <w:r w:rsidR="00A77034" w:rsidRPr="00A77034">
        <w:rPr>
          <w:b/>
          <w:color w:val="008000"/>
          <w:sz w:val="28"/>
          <w:szCs w:val="28"/>
        </w:rPr>
        <w:t xml:space="preserve"> Regulations</w:t>
      </w:r>
    </w:p>
    <w:p w14:paraId="03B2C4AB" w14:textId="77777777" w:rsidR="00A77034" w:rsidRDefault="00A77034" w:rsidP="003829F0">
      <w:pPr>
        <w:rPr>
          <w:b/>
          <w:color w:val="008000"/>
          <w:sz w:val="28"/>
          <w:szCs w:val="28"/>
        </w:rPr>
      </w:pPr>
    </w:p>
    <w:p w14:paraId="7C2F8CEA" w14:textId="77777777" w:rsidR="00C47298" w:rsidRDefault="00C47298" w:rsidP="003829F0">
      <w:pPr>
        <w:rPr>
          <w:b/>
          <w:sz w:val="28"/>
          <w:szCs w:val="28"/>
        </w:rPr>
      </w:pPr>
      <w:r>
        <w:rPr>
          <w:b/>
          <w:sz w:val="28"/>
          <w:szCs w:val="28"/>
        </w:rPr>
        <w:t>Government Regulations:</w:t>
      </w:r>
    </w:p>
    <w:p w14:paraId="473DE112" w14:textId="77777777" w:rsidR="00C47298" w:rsidRDefault="00C47298" w:rsidP="003829F0">
      <w:pPr>
        <w:rPr>
          <w:sz w:val="28"/>
          <w:szCs w:val="28"/>
        </w:rPr>
      </w:pPr>
    </w:p>
    <w:p w14:paraId="2BF05751" w14:textId="77777777" w:rsidR="00C47298" w:rsidRDefault="00C47298" w:rsidP="00AD37DC">
      <w:pPr>
        <w:rPr>
          <w:sz w:val="28"/>
          <w:szCs w:val="28"/>
        </w:rPr>
      </w:pPr>
      <w:r>
        <w:rPr>
          <w:sz w:val="28"/>
          <w:szCs w:val="28"/>
        </w:rPr>
        <w:t>Most Government regulations that deal with Oil and Gas involves contracting on when and where companies are allowed to drill on certain land and certain waters.</w:t>
      </w:r>
    </w:p>
    <w:p w14:paraId="3E5287DB" w14:textId="77777777" w:rsidR="00AD37DC" w:rsidRDefault="00AD37DC" w:rsidP="00AD37DC">
      <w:pPr>
        <w:rPr>
          <w:sz w:val="28"/>
          <w:szCs w:val="28"/>
        </w:rPr>
      </w:pPr>
    </w:p>
    <w:p w14:paraId="7F32B6B2" w14:textId="77777777" w:rsidR="00AD37DC" w:rsidRDefault="00AD37DC" w:rsidP="00AD37DC">
      <w:pPr>
        <w:rPr>
          <w:sz w:val="28"/>
          <w:szCs w:val="28"/>
        </w:rPr>
      </w:pPr>
    </w:p>
    <w:p w14:paraId="5797B835" w14:textId="77777777" w:rsidR="00AD37DC" w:rsidRPr="00AD37DC" w:rsidRDefault="00AD37DC" w:rsidP="00AD37DC">
      <w:pPr>
        <w:rPr>
          <w:sz w:val="28"/>
          <w:szCs w:val="28"/>
        </w:rPr>
      </w:pPr>
      <w:r w:rsidRPr="00AD37DC">
        <w:rPr>
          <w:sz w:val="28"/>
          <w:szCs w:val="28"/>
        </w:rPr>
        <w:t>Latest Bills that have been passed</w:t>
      </w:r>
    </w:p>
    <w:p w14:paraId="7282B8AB" w14:textId="77777777" w:rsidR="00C47298" w:rsidRPr="00AD37DC" w:rsidRDefault="00C47298" w:rsidP="00C47298">
      <w:pPr>
        <w:pStyle w:val="ListParagraph"/>
        <w:numPr>
          <w:ilvl w:val="0"/>
          <w:numId w:val="4"/>
        </w:numPr>
        <w:spacing w:before="100" w:beforeAutospacing="1" w:after="420"/>
        <w:outlineLvl w:val="0"/>
        <w:rPr>
          <w:rFonts w:ascii="Georgia" w:eastAsia="Times New Roman" w:hAnsi="Georgia" w:cs="Times New Roman"/>
          <w:bCs/>
          <w:color w:val="202A43"/>
          <w:kern w:val="36"/>
          <w:sz w:val="28"/>
          <w:szCs w:val="28"/>
        </w:rPr>
      </w:pPr>
      <w:r w:rsidRPr="00AD37DC">
        <w:rPr>
          <w:rFonts w:ascii="Georgia" w:eastAsia="Times New Roman" w:hAnsi="Georgia" w:cs="Times New Roman"/>
          <w:bCs/>
          <w:color w:val="202A43"/>
          <w:kern w:val="36"/>
          <w:sz w:val="28"/>
          <w:szCs w:val="28"/>
        </w:rPr>
        <w:t>S.176 -</w:t>
      </w:r>
      <w:r w:rsidR="00AD37DC" w:rsidRPr="00AD37DC">
        <w:rPr>
          <w:rFonts w:ascii="Georgia" w:eastAsia="Times New Roman" w:hAnsi="Georgia" w:cs="Times New Roman"/>
          <w:bCs/>
          <w:color w:val="202A43"/>
          <w:kern w:val="36"/>
          <w:sz w:val="28"/>
          <w:szCs w:val="28"/>
        </w:rPr>
        <w:t xml:space="preserve"> A bill to reject the final 5-ye</w:t>
      </w:r>
      <w:r w:rsidRPr="00AD37DC">
        <w:rPr>
          <w:rFonts w:ascii="Georgia" w:eastAsia="Times New Roman" w:hAnsi="Georgia" w:cs="Times New Roman"/>
          <w:bCs/>
          <w:color w:val="202A43"/>
          <w:kern w:val="36"/>
          <w:sz w:val="28"/>
          <w:szCs w:val="28"/>
        </w:rPr>
        <w:t>ar Outer Continental Shelf Oil and Gas Leasing Program for fiscal years 2013 through 2018 of the Administration and replace the plan with a 5-year plan that is more in line with the energy and economic needs of the United States.</w:t>
      </w:r>
    </w:p>
    <w:p w14:paraId="1BF37C26" w14:textId="77777777" w:rsidR="00C47298" w:rsidRPr="00AD37DC" w:rsidRDefault="00414CC4" w:rsidP="00414CC4">
      <w:pPr>
        <w:pStyle w:val="Heading1"/>
        <w:numPr>
          <w:ilvl w:val="0"/>
          <w:numId w:val="4"/>
        </w:numPr>
        <w:spacing w:after="420" w:afterAutospacing="0"/>
        <w:rPr>
          <w:rFonts w:ascii="Georgia" w:eastAsia="Times New Roman" w:hAnsi="Georgia" w:cs="Times New Roman"/>
          <w:b w:val="0"/>
          <w:color w:val="202A43"/>
          <w:sz w:val="28"/>
          <w:szCs w:val="28"/>
        </w:rPr>
      </w:pPr>
      <w:proofErr w:type="gramStart"/>
      <w:r w:rsidRPr="00AD37DC">
        <w:rPr>
          <w:rFonts w:ascii="Georgia" w:eastAsia="Times New Roman" w:hAnsi="Georgia" w:cs="Times New Roman"/>
          <w:b w:val="0"/>
          <w:color w:val="202A43"/>
          <w:sz w:val="28"/>
          <w:szCs w:val="28"/>
        </w:rPr>
        <w:t>H.R.1011 - To prohibit the Secretary of the Interior from issuing oil and gas leases on portions of the Outer Continental Shelf located off the coast of New Jersey.</w:t>
      </w:r>
      <w:proofErr w:type="gramEnd"/>
    </w:p>
    <w:p w14:paraId="66EE7360" w14:textId="77777777" w:rsidR="00414CC4" w:rsidRPr="00AD37DC" w:rsidRDefault="00414CC4" w:rsidP="00414CC4">
      <w:pPr>
        <w:pStyle w:val="Heading1"/>
        <w:spacing w:after="420" w:afterAutospacing="0"/>
        <w:rPr>
          <w:rFonts w:ascii="Georgia" w:eastAsia="Times New Roman" w:hAnsi="Georgia" w:cs="Times New Roman"/>
          <w:color w:val="202A43"/>
          <w:sz w:val="28"/>
          <w:szCs w:val="28"/>
        </w:rPr>
      </w:pPr>
      <w:r w:rsidRPr="00AD37DC">
        <w:rPr>
          <w:rFonts w:ascii="Georgia" w:eastAsia="Times New Roman" w:hAnsi="Georgia" w:cs="Times New Roman"/>
          <w:color w:val="202A43"/>
          <w:sz w:val="28"/>
          <w:szCs w:val="28"/>
        </w:rPr>
        <w:t>Industry Developments and Innovations:</w:t>
      </w:r>
    </w:p>
    <w:p w14:paraId="64CD2534" w14:textId="77777777" w:rsidR="00C47298" w:rsidRPr="00AD37DC" w:rsidRDefault="00414CC4" w:rsidP="00414CC4">
      <w:pPr>
        <w:pStyle w:val="Heading1"/>
        <w:spacing w:after="420" w:afterAutospacing="0"/>
        <w:rPr>
          <w:rFonts w:ascii="Georgia" w:eastAsia="Times New Roman" w:hAnsi="Georgia" w:cs="Times New Roman"/>
          <w:b w:val="0"/>
          <w:color w:val="202A43"/>
          <w:sz w:val="28"/>
          <w:szCs w:val="28"/>
        </w:rPr>
      </w:pPr>
      <w:r w:rsidRPr="00AD37DC">
        <w:rPr>
          <w:rFonts w:ascii="Georgia" w:eastAsia="Times New Roman" w:hAnsi="Georgia" w:cs="Times New Roman"/>
          <w:b w:val="0"/>
          <w:color w:val="202A43"/>
          <w:sz w:val="28"/>
          <w:szCs w:val="28"/>
        </w:rPr>
        <w:tab/>
        <w:t>Most Industry developments and innovations in the Oil and Gas industry are driven behind drilling performance and efficiency, safety, and economic advancements.</w:t>
      </w:r>
    </w:p>
    <w:p w14:paraId="2D193B58" w14:textId="77777777" w:rsidR="00414CC4" w:rsidRPr="00AD37DC" w:rsidRDefault="00414CC4" w:rsidP="00414CC4">
      <w:pPr>
        <w:pStyle w:val="ListParagraph"/>
        <w:numPr>
          <w:ilvl w:val="0"/>
          <w:numId w:val="5"/>
        </w:numPr>
        <w:rPr>
          <w:rFonts w:ascii="Times" w:eastAsia="Times New Roman" w:hAnsi="Times" w:cs="Times New Roman"/>
          <w:sz w:val="28"/>
          <w:szCs w:val="28"/>
        </w:rPr>
      </w:pPr>
      <w:r w:rsidRPr="00AD37DC">
        <w:rPr>
          <w:rFonts w:ascii="Arial" w:eastAsia="Times New Roman" w:hAnsi="Arial" w:cs="Times New Roman"/>
          <w:sz w:val="28"/>
          <w:szCs w:val="28"/>
        </w:rPr>
        <w:t>December 2013 - DTI, LLC, a global leader in offshore oil and gas motion compensation systems, introduces a new riser recoil valve that offers an efficient, reactive and reliable option during planned or emergency riser recoil events. The streamlined, patent-pending design behind this new technology significantly improves riser recoil valve performance. </w:t>
      </w:r>
    </w:p>
    <w:p w14:paraId="3C0677AF" w14:textId="77777777" w:rsidR="00A77034" w:rsidRPr="00AD37DC" w:rsidRDefault="00A77034" w:rsidP="003829F0">
      <w:pPr>
        <w:rPr>
          <w:b/>
          <w:sz w:val="28"/>
          <w:szCs w:val="28"/>
        </w:rPr>
      </w:pPr>
    </w:p>
    <w:p w14:paraId="5F2A50CF" w14:textId="77777777" w:rsidR="00414CC4" w:rsidRPr="00AD37DC" w:rsidRDefault="00414CC4" w:rsidP="00414CC4">
      <w:pPr>
        <w:pStyle w:val="ListParagraph"/>
        <w:numPr>
          <w:ilvl w:val="0"/>
          <w:numId w:val="5"/>
        </w:numPr>
        <w:rPr>
          <w:rFonts w:ascii="Times" w:eastAsia="Times New Roman" w:hAnsi="Times" w:cs="Times New Roman"/>
          <w:sz w:val="28"/>
          <w:szCs w:val="28"/>
        </w:rPr>
      </w:pPr>
      <w:r w:rsidRPr="00AD37DC">
        <w:rPr>
          <w:rFonts w:ascii="Arial" w:eastAsia="Times New Roman" w:hAnsi="Arial" w:cs="Times New Roman"/>
          <w:sz w:val="28"/>
          <w:szCs w:val="28"/>
        </w:rPr>
        <w:t>January 2013 - Drilling Technological Innovations, LLC (DTI) has received ISO 9001:2008 certification for the design, development, manufacture and assembly of motion compensation systems, to include riser tensioner systems, for the offshore oil and gas industry.</w:t>
      </w:r>
    </w:p>
    <w:p w14:paraId="756B060A" w14:textId="77777777" w:rsidR="00385118" w:rsidRPr="00AD37DC" w:rsidRDefault="00385118" w:rsidP="003829F0">
      <w:pPr>
        <w:rPr>
          <w:b/>
          <w:color w:val="000000" w:themeColor="text1"/>
          <w:sz w:val="28"/>
          <w:szCs w:val="28"/>
        </w:rPr>
      </w:pPr>
    </w:p>
    <w:p w14:paraId="25D39C9B" w14:textId="77777777" w:rsidR="00AD37DC" w:rsidRDefault="00AD37DC" w:rsidP="003829F0">
      <w:pPr>
        <w:rPr>
          <w:b/>
          <w:color w:val="008000"/>
          <w:sz w:val="32"/>
          <w:szCs w:val="32"/>
        </w:rPr>
      </w:pPr>
    </w:p>
    <w:p w14:paraId="422B9A3C" w14:textId="77777777" w:rsidR="00AD37DC" w:rsidRDefault="00AD37DC" w:rsidP="003829F0">
      <w:pPr>
        <w:rPr>
          <w:b/>
          <w:color w:val="008000"/>
          <w:sz w:val="32"/>
          <w:szCs w:val="32"/>
        </w:rPr>
      </w:pPr>
    </w:p>
    <w:p w14:paraId="1DC8C4EB" w14:textId="77777777" w:rsidR="007B5E3C" w:rsidRDefault="007B5E3C" w:rsidP="003829F0">
      <w:pPr>
        <w:rPr>
          <w:b/>
          <w:color w:val="008000"/>
          <w:sz w:val="32"/>
          <w:szCs w:val="32"/>
        </w:rPr>
      </w:pPr>
      <w:r>
        <w:rPr>
          <w:b/>
          <w:color w:val="008000"/>
          <w:sz w:val="32"/>
          <w:szCs w:val="32"/>
        </w:rPr>
        <w:t>Consumer Market Data</w:t>
      </w:r>
      <w:r w:rsidR="007D45CE">
        <w:rPr>
          <w:b/>
          <w:color w:val="008000"/>
          <w:sz w:val="32"/>
          <w:szCs w:val="32"/>
        </w:rPr>
        <w:t>:</w:t>
      </w:r>
    </w:p>
    <w:p w14:paraId="3A372C09" w14:textId="77777777" w:rsidR="00AD37DC" w:rsidRDefault="00AD37DC" w:rsidP="003829F0">
      <w:pPr>
        <w:rPr>
          <w:b/>
          <w:color w:val="008000"/>
          <w:sz w:val="32"/>
          <w:szCs w:val="32"/>
        </w:rPr>
      </w:pPr>
    </w:p>
    <w:p w14:paraId="71A125BD" w14:textId="77777777" w:rsidR="007B5E3C" w:rsidRDefault="007B5E3C" w:rsidP="007B5E3C">
      <w:pPr>
        <w:pStyle w:val="Heading3"/>
        <w:spacing w:before="0" w:after="60" w:line="293" w:lineRule="atLeast"/>
        <w:rPr>
          <w:rFonts w:ascii="Arial" w:eastAsia="Times New Roman" w:hAnsi="Arial" w:cs="Times New Roman"/>
          <w:b w:val="0"/>
          <w:bCs w:val="0"/>
          <w:color w:val="008000"/>
        </w:rPr>
      </w:pPr>
      <w:r w:rsidRPr="007D45CE">
        <w:rPr>
          <w:rFonts w:ascii="Arial" w:eastAsia="Times New Roman" w:hAnsi="Arial" w:cs="Times New Roman"/>
          <w:b w:val="0"/>
          <w:bCs w:val="0"/>
          <w:color w:val="008000"/>
        </w:rPr>
        <w:t>Employment:</w:t>
      </w:r>
    </w:p>
    <w:p w14:paraId="4E31C702" w14:textId="77777777" w:rsidR="00AD37DC" w:rsidRPr="00AD37DC" w:rsidRDefault="00AD37DC" w:rsidP="00AD37DC"/>
    <w:tbl>
      <w:tblPr>
        <w:tblW w:w="11400" w:type="dxa"/>
        <w:tblInd w:w="-96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7344"/>
        <w:gridCol w:w="784"/>
        <w:gridCol w:w="818"/>
        <w:gridCol w:w="818"/>
        <w:gridCol w:w="818"/>
        <w:gridCol w:w="818"/>
      </w:tblGrid>
      <w:tr w:rsidR="007B5E3C" w14:paraId="76299C5F" w14:textId="77777777" w:rsidTr="007B5E3C">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66AC8199"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Data series</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02F4BDAD"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Back</w:t>
            </w:r>
            <w:r>
              <w:rPr>
                <w:rFonts w:ascii="tahoma" w:eastAsia="Times New Roman" w:hAnsi="tahoma" w:cs="Times New Roman"/>
                <w:b/>
                <w:bCs/>
                <w:sz w:val="18"/>
                <w:szCs w:val="18"/>
              </w:rPr>
              <w:br/>
              <w:t>data</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021D4954"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Jan.</w:t>
            </w:r>
            <w:r>
              <w:rPr>
                <w:rFonts w:ascii="tahoma" w:eastAsia="Times New Roman" w:hAnsi="tahoma" w:cs="Times New Roman"/>
                <w:b/>
                <w:bCs/>
                <w:sz w:val="18"/>
                <w:szCs w:val="18"/>
              </w:rPr>
              <w:br/>
              <w:t>2014</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3892C6D4"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Feb.</w:t>
            </w:r>
            <w:r>
              <w:rPr>
                <w:rFonts w:ascii="tahoma" w:eastAsia="Times New Roman" w:hAnsi="tahoma" w:cs="Times New Roman"/>
                <w:b/>
                <w:bCs/>
                <w:sz w:val="18"/>
                <w:szCs w:val="18"/>
              </w:rPr>
              <w:br/>
              <w:t>2014</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71E27D0A"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Mar.</w:t>
            </w:r>
            <w:r>
              <w:rPr>
                <w:rFonts w:ascii="tahoma" w:eastAsia="Times New Roman" w:hAnsi="tahoma" w:cs="Times New Roman"/>
                <w:b/>
                <w:bCs/>
                <w:sz w:val="18"/>
                <w:szCs w:val="18"/>
              </w:rPr>
              <w:br/>
              <w:t>2014</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18E3CC84" w14:textId="77777777" w:rsidR="007B5E3C" w:rsidRDefault="007B5E3C">
            <w:pPr>
              <w:spacing w:line="293" w:lineRule="atLeast"/>
              <w:jc w:val="center"/>
              <w:rPr>
                <w:rFonts w:ascii="tahoma" w:eastAsia="Times New Roman" w:hAnsi="tahoma" w:cs="Times New Roman"/>
                <w:b/>
                <w:bCs/>
                <w:sz w:val="18"/>
                <w:szCs w:val="18"/>
              </w:rPr>
            </w:pPr>
            <w:r>
              <w:rPr>
                <w:rFonts w:ascii="tahoma" w:eastAsia="Times New Roman" w:hAnsi="tahoma" w:cs="Times New Roman"/>
                <w:b/>
                <w:bCs/>
                <w:sz w:val="18"/>
                <w:szCs w:val="18"/>
              </w:rPr>
              <w:t>Apr.</w:t>
            </w:r>
            <w:r>
              <w:rPr>
                <w:rFonts w:ascii="tahoma" w:eastAsia="Times New Roman" w:hAnsi="tahoma" w:cs="Times New Roman"/>
                <w:b/>
                <w:bCs/>
                <w:sz w:val="18"/>
                <w:szCs w:val="18"/>
              </w:rPr>
              <w:br/>
              <w:t>2014</w:t>
            </w:r>
          </w:p>
        </w:tc>
      </w:tr>
      <w:tr w:rsidR="007B5E3C" w14:paraId="74A1CE21" w14:textId="77777777" w:rsidTr="007B5E3C">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14:paraId="3560E019" w14:textId="77777777" w:rsidR="007B5E3C" w:rsidRPr="007D45CE" w:rsidRDefault="007B5E3C">
            <w:pPr>
              <w:pStyle w:val="sub0"/>
              <w:spacing w:before="0" w:beforeAutospacing="0" w:after="0" w:afterAutospacing="0" w:line="179" w:lineRule="atLeast"/>
              <w:rPr>
                <w:rFonts w:ascii="tahoma" w:hAnsi="tahoma" w:cs="Times New Roman"/>
                <w:b/>
                <w:bCs/>
                <w:sz w:val="18"/>
                <w:szCs w:val="18"/>
              </w:rPr>
            </w:pPr>
            <w:r w:rsidRPr="007D45CE">
              <w:rPr>
                <w:rFonts w:ascii="tahoma" w:hAnsi="tahoma" w:cs="Times New Roman"/>
                <w:b/>
                <w:bCs/>
                <w:sz w:val="18"/>
                <w:szCs w:val="18"/>
              </w:rPr>
              <w:t>Employment (in thousands)</w:t>
            </w:r>
          </w:p>
        </w:tc>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6081F506" w14:textId="77777777" w:rsidR="007B5E3C" w:rsidRPr="007D45CE" w:rsidRDefault="007B5E3C">
            <w:pPr>
              <w:spacing w:line="293" w:lineRule="atLeast"/>
              <w:jc w:val="right"/>
              <w:rPr>
                <w:rFonts w:ascii="tahoma" w:eastAsia="Times New Roman" w:hAnsi="tahoma" w:cs="Times New Roman"/>
                <w:sz w:val="18"/>
                <w:szCs w:val="18"/>
              </w:rPr>
            </w:pPr>
            <w:r w:rsidRPr="007D45CE">
              <w:rPr>
                <w:rFonts w:ascii="tahoma" w:eastAsia="Times New Roman" w:hAnsi="tahoma" w:cs="Times New Roman"/>
                <w:sz w:val="18"/>
                <w:szCs w:val="18"/>
              </w:rPr>
              <w:t> </w:t>
            </w:r>
          </w:p>
        </w:tc>
      </w:tr>
      <w:tr w:rsidR="007B5E3C" w14:paraId="4406BD81" w14:textId="77777777" w:rsidTr="007B5E3C">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14:paraId="7E6DB7DA" w14:textId="77777777" w:rsidR="007B5E3C" w:rsidRPr="007D45CE" w:rsidRDefault="007B5E3C">
            <w:pPr>
              <w:pStyle w:val="sub1"/>
              <w:spacing w:before="0" w:beforeAutospacing="0" w:after="0" w:afterAutospacing="0" w:line="179" w:lineRule="atLeast"/>
              <w:rPr>
                <w:rFonts w:ascii="tahoma" w:hAnsi="tahoma" w:cs="Times New Roman"/>
                <w:b/>
                <w:bCs/>
                <w:sz w:val="18"/>
                <w:szCs w:val="18"/>
              </w:rPr>
            </w:pPr>
            <w:r w:rsidRPr="007D45CE">
              <w:rPr>
                <w:rFonts w:ascii="tahoma" w:hAnsi="tahoma" w:cs="Times New Roman"/>
                <w:b/>
                <w:bCs/>
                <w:sz w:val="18"/>
                <w:szCs w:val="18"/>
              </w:rPr>
              <w:t>Employment, all employees  (seasonally adjusted)</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52332DBD" w14:textId="77777777" w:rsidR="007B5E3C" w:rsidRPr="007D45CE" w:rsidRDefault="007B5E3C">
            <w:pPr>
              <w:spacing w:line="293" w:lineRule="atLeast"/>
              <w:jc w:val="center"/>
              <w:rPr>
                <w:rFonts w:ascii="tahoma" w:eastAsia="Times New Roman" w:hAnsi="tahom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106E9C21"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205.3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7E686A1D"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207.8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06BBC95C"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207.8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6D287468"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apple-converted-space"/>
                <w:rFonts w:ascii="tahoma" w:eastAsia="Times New Roman" w:hAnsi="tahoma" w:cs="Times New Roman"/>
                <w:sz w:val="18"/>
                <w:szCs w:val="18"/>
              </w:rPr>
              <w:t> </w:t>
            </w:r>
            <w:r w:rsidRPr="007D45CE">
              <w:rPr>
                <w:rStyle w:val="datavalue"/>
                <w:rFonts w:ascii="tahoma" w:eastAsia="Times New Roman" w:hAnsi="tahoma" w:cs="Times New Roman"/>
                <w:sz w:val="18"/>
                <w:szCs w:val="18"/>
              </w:rPr>
              <w:t>208.9</w:t>
            </w:r>
          </w:p>
        </w:tc>
      </w:tr>
      <w:tr w:rsidR="007B5E3C" w14:paraId="19EF52A5" w14:textId="77777777" w:rsidTr="007B5E3C">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14:paraId="51A0E44A" w14:textId="77777777" w:rsidR="007B5E3C" w:rsidRPr="007D45CE" w:rsidRDefault="007B5E3C">
            <w:pPr>
              <w:pStyle w:val="sub2"/>
              <w:spacing w:before="0" w:beforeAutospacing="0" w:after="0" w:afterAutospacing="0" w:line="179" w:lineRule="atLeast"/>
              <w:rPr>
                <w:rFonts w:ascii="tahoma" w:hAnsi="tahoma" w:cs="Times New Roman"/>
                <w:b/>
                <w:bCs/>
                <w:sz w:val="18"/>
                <w:szCs w:val="18"/>
              </w:rPr>
            </w:pPr>
            <w:r w:rsidRPr="007D45CE">
              <w:rPr>
                <w:rFonts w:ascii="tahoma" w:hAnsi="tahoma" w:cs="Times New Roman"/>
                <w:b/>
                <w:bCs/>
                <w:sz w:val="18"/>
                <w:szCs w:val="18"/>
              </w:rPr>
              <w:t>Employment, production and nonsupervisory employees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2462D056" w14:textId="77777777" w:rsidR="007B5E3C" w:rsidRPr="007D45CE" w:rsidRDefault="007B5E3C">
            <w:pPr>
              <w:spacing w:line="293" w:lineRule="atLeast"/>
              <w:jc w:val="center"/>
              <w:rPr>
                <w:rFonts w:ascii="tahoma" w:eastAsia="Times New Roman" w:hAnsi="tahom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7DDF4AD4" w14:textId="77777777" w:rsidR="007B5E3C" w:rsidRPr="007D45CE" w:rsidRDefault="007B5E3C">
            <w:pPr>
              <w:spacing w:line="219"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110.6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7A46B42D" w14:textId="77777777" w:rsidR="007B5E3C" w:rsidRPr="007D45CE" w:rsidRDefault="007B5E3C">
            <w:pPr>
              <w:spacing w:line="219"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110.8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057B2AA5" w14:textId="77777777" w:rsidR="007B5E3C" w:rsidRPr="007D45CE" w:rsidRDefault="007B5E3C">
            <w:pPr>
              <w:spacing w:line="219"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109.8</w:t>
            </w:r>
            <w:r w:rsidRPr="007D45CE">
              <w:rPr>
                <w:rFonts w:ascii="tahoma" w:eastAsia="Times New Roman" w:hAnsi="tahoma" w:cs="Times New Roman"/>
                <w:sz w:val="18"/>
                <w:szCs w:val="18"/>
              </w:rPr>
              <w:br/>
            </w:r>
          </w:p>
        </w:tc>
        <w:tc>
          <w:tcPr>
            <w:tcW w:w="0" w:type="auto"/>
            <w:shd w:val="clear" w:color="auto" w:fill="FFFFFF"/>
            <w:vAlign w:val="center"/>
            <w:hideMark/>
          </w:tcPr>
          <w:p w14:paraId="611FBF00" w14:textId="77777777" w:rsidR="007B5E3C" w:rsidRPr="007D45CE" w:rsidRDefault="007B5E3C">
            <w:pPr>
              <w:rPr>
                <w:rFonts w:ascii="Times New Roman" w:eastAsia="Times New Roman" w:hAnsi="Times New Roman" w:cs="Times New Roman"/>
              </w:rPr>
            </w:pPr>
          </w:p>
        </w:tc>
      </w:tr>
    </w:tbl>
    <w:p w14:paraId="0D425026" w14:textId="77777777" w:rsidR="00AD37DC" w:rsidRDefault="00AD37DC" w:rsidP="007B5E3C">
      <w:pPr>
        <w:pStyle w:val="Heading3"/>
        <w:shd w:val="clear" w:color="auto" w:fill="FFFFFF"/>
        <w:spacing w:before="0" w:after="60" w:line="293" w:lineRule="atLeast"/>
        <w:rPr>
          <w:rFonts w:ascii="Arial" w:eastAsia="Times New Roman" w:hAnsi="Arial" w:cs="Times New Roman"/>
          <w:b w:val="0"/>
          <w:bCs w:val="0"/>
          <w:color w:val="008000"/>
        </w:rPr>
      </w:pPr>
    </w:p>
    <w:p w14:paraId="44096ADE" w14:textId="77777777" w:rsidR="007B5E3C" w:rsidRDefault="007B5E3C" w:rsidP="007B5E3C">
      <w:pPr>
        <w:pStyle w:val="Heading3"/>
        <w:shd w:val="clear" w:color="auto" w:fill="FFFFFF"/>
        <w:spacing w:before="0" w:after="60" w:line="293" w:lineRule="atLeast"/>
        <w:rPr>
          <w:rFonts w:ascii="Arial" w:eastAsia="Times New Roman" w:hAnsi="Arial" w:cs="Times New Roman"/>
          <w:b w:val="0"/>
          <w:bCs w:val="0"/>
          <w:color w:val="008000"/>
        </w:rPr>
      </w:pPr>
      <w:r w:rsidRPr="007D45CE">
        <w:rPr>
          <w:rFonts w:ascii="Arial" w:eastAsia="Times New Roman" w:hAnsi="Arial" w:cs="Times New Roman"/>
          <w:b w:val="0"/>
          <w:bCs w:val="0"/>
          <w:color w:val="008000"/>
        </w:rPr>
        <w:t>Earnings and Hours of All Employees</w:t>
      </w:r>
    </w:p>
    <w:p w14:paraId="38558ECE" w14:textId="77777777" w:rsidR="00AD37DC" w:rsidRPr="00AD37DC" w:rsidRDefault="00AD37DC" w:rsidP="00AD37DC"/>
    <w:tbl>
      <w:tblPr>
        <w:tblW w:w="11400" w:type="dxa"/>
        <w:tblInd w:w="-96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4947"/>
        <w:gridCol w:w="1180"/>
        <w:gridCol w:w="1288"/>
        <w:gridCol w:w="1288"/>
        <w:gridCol w:w="1288"/>
        <w:gridCol w:w="1409"/>
      </w:tblGrid>
      <w:tr w:rsidR="007B5E3C" w14:paraId="64D2CAA4" w14:textId="77777777" w:rsidTr="007B5E3C">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45544B9A"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Data series</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4DE539D2"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Back</w:t>
            </w:r>
            <w:r>
              <w:rPr>
                <w:rFonts w:ascii="tahoma" w:eastAsia="Times New Roman" w:hAnsi="tahoma" w:cs="Times New Roman"/>
                <w:b/>
                <w:bCs/>
                <w:color w:val="000000"/>
                <w:sz w:val="18"/>
                <w:szCs w:val="18"/>
              </w:rPr>
              <w:br/>
              <w:t>data</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6DE81630"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Dec.</w:t>
            </w:r>
            <w:r>
              <w:rPr>
                <w:rFonts w:ascii="tahoma" w:eastAsia="Times New Roman" w:hAnsi="tahoma" w:cs="Times New Roman"/>
                <w:b/>
                <w:bCs/>
                <w:color w:val="000000"/>
                <w:sz w:val="18"/>
                <w:szCs w:val="18"/>
              </w:rPr>
              <w:br/>
              <w:t>2013</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7BA814AA"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Jan.</w:t>
            </w:r>
            <w:r>
              <w:rPr>
                <w:rFonts w:ascii="tahoma" w:eastAsia="Times New Roman" w:hAnsi="tahoma" w:cs="Times New Roman"/>
                <w:b/>
                <w:bCs/>
                <w:color w:val="000000"/>
                <w:sz w:val="18"/>
                <w:szCs w:val="18"/>
              </w:rPr>
              <w:br/>
              <w:t>2014</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7A2DA6E1"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Feb.</w:t>
            </w:r>
            <w:r>
              <w:rPr>
                <w:rFonts w:ascii="tahoma" w:eastAsia="Times New Roman" w:hAnsi="tahoma" w:cs="Times New Roman"/>
                <w:b/>
                <w:bCs/>
                <w:color w:val="000000"/>
                <w:sz w:val="18"/>
                <w:szCs w:val="18"/>
              </w:rPr>
              <w:br/>
              <w:t>2014</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4467FFF2" w14:textId="77777777" w:rsidR="007B5E3C" w:rsidRDefault="007B5E3C">
            <w:pPr>
              <w:spacing w:line="293" w:lineRule="atLeast"/>
              <w:jc w:val="center"/>
              <w:rPr>
                <w:rFonts w:ascii="tahoma" w:eastAsia="Times New Roman" w:hAnsi="tahoma" w:cs="Times New Roman"/>
                <w:b/>
                <w:bCs/>
                <w:color w:val="000000"/>
                <w:sz w:val="18"/>
                <w:szCs w:val="18"/>
              </w:rPr>
            </w:pPr>
            <w:r>
              <w:rPr>
                <w:rFonts w:ascii="tahoma" w:eastAsia="Times New Roman" w:hAnsi="tahoma" w:cs="Times New Roman"/>
                <w:b/>
                <w:bCs/>
                <w:color w:val="000000"/>
                <w:sz w:val="18"/>
                <w:szCs w:val="18"/>
              </w:rPr>
              <w:t>Mar.</w:t>
            </w:r>
            <w:r>
              <w:rPr>
                <w:rFonts w:ascii="tahoma" w:eastAsia="Times New Roman" w:hAnsi="tahoma" w:cs="Times New Roman"/>
                <w:b/>
                <w:bCs/>
                <w:color w:val="000000"/>
                <w:sz w:val="18"/>
                <w:szCs w:val="18"/>
              </w:rPr>
              <w:br/>
              <w:t>2014</w:t>
            </w:r>
          </w:p>
        </w:tc>
      </w:tr>
      <w:tr w:rsidR="007B5E3C" w14:paraId="264AB617" w14:textId="77777777" w:rsidTr="007B5E3C">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14:paraId="05B4ECB8" w14:textId="77777777" w:rsidR="007B5E3C" w:rsidRPr="007D45CE" w:rsidRDefault="007B5E3C">
            <w:pPr>
              <w:pStyle w:val="sub0"/>
              <w:spacing w:before="0" w:beforeAutospacing="0" w:after="0" w:afterAutospacing="0" w:line="179" w:lineRule="atLeast"/>
              <w:rPr>
                <w:rFonts w:ascii="tahoma" w:hAnsi="tahoma" w:cs="Times New Roman"/>
                <w:b/>
                <w:bCs/>
                <w:sz w:val="18"/>
                <w:szCs w:val="18"/>
              </w:rPr>
            </w:pPr>
            <w:r w:rsidRPr="007D45CE">
              <w:rPr>
                <w:rFonts w:ascii="tahoma" w:hAnsi="tahoma" w:cs="Times New Roman"/>
                <w:b/>
                <w:bCs/>
                <w:sz w:val="18"/>
                <w:szCs w:val="18"/>
              </w:rPr>
              <w:t>Average hourly earnings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08E9FAFB" w14:textId="77777777" w:rsidR="007B5E3C" w:rsidRPr="007D45CE" w:rsidRDefault="007B5E3C">
            <w:pPr>
              <w:spacing w:line="293" w:lineRule="atLeast"/>
              <w:jc w:val="center"/>
              <w:rPr>
                <w:rFonts w:ascii="tahoma" w:eastAsia="Times New Roman" w:hAnsi="tahom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134E2223"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$36.46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37805FF9"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$36.83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52EEA354"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$36.91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27FCBF7C"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apple-converted-space"/>
                <w:rFonts w:ascii="tahoma" w:eastAsia="Times New Roman" w:hAnsi="tahoma" w:cs="Times New Roman"/>
                <w:sz w:val="18"/>
                <w:szCs w:val="18"/>
              </w:rPr>
              <w:t> </w:t>
            </w:r>
            <w:r w:rsidRPr="007D45CE">
              <w:rPr>
                <w:rStyle w:val="datavalue"/>
                <w:rFonts w:ascii="tahoma" w:eastAsia="Times New Roman" w:hAnsi="tahoma" w:cs="Times New Roman"/>
                <w:sz w:val="18"/>
                <w:szCs w:val="18"/>
              </w:rPr>
              <w:t>$39.03</w:t>
            </w:r>
          </w:p>
        </w:tc>
      </w:tr>
      <w:tr w:rsidR="007B5E3C" w14:paraId="19A0D78F" w14:textId="77777777" w:rsidTr="007B5E3C">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14:paraId="1B38531F" w14:textId="77777777" w:rsidR="007B5E3C" w:rsidRPr="007D45CE" w:rsidRDefault="007B5E3C">
            <w:pPr>
              <w:pStyle w:val="sub0"/>
              <w:spacing w:before="0" w:beforeAutospacing="0" w:after="0" w:afterAutospacing="0" w:line="179" w:lineRule="atLeast"/>
              <w:rPr>
                <w:rFonts w:ascii="tahoma" w:hAnsi="tahoma" w:cs="Times New Roman"/>
                <w:b/>
                <w:bCs/>
                <w:sz w:val="18"/>
                <w:szCs w:val="18"/>
              </w:rPr>
            </w:pPr>
            <w:r w:rsidRPr="007D45CE">
              <w:rPr>
                <w:rFonts w:ascii="tahoma" w:hAnsi="tahoma" w:cs="Times New Roman"/>
                <w:b/>
                <w:bCs/>
                <w:sz w:val="18"/>
                <w:szCs w:val="18"/>
              </w:rPr>
              <w:t>Average weekly hours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5AD979AB" w14:textId="77777777" w:rsidR="007B5E3C" w:rsidRPr="007D45CE" w:rsidRDefault="007B5E3C">
            <w:pPr>
              <w:spacing w:line="293" w:lineRule="atLeast"/>
              <w:jc w:val="center"/>
              <w:rPr>
                <w:rFonts w:ascii="tahoma" w:eastAsia="Times New Roman" w:hAnsi="tahoma" w:cs="Times New Roman"/>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641D71CE"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43.8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58A3E020"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42.3</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21DA01DF"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42.8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14:paraId="43867E1C" w14:textId="77777777" w:rsidR="007B5E3C" w:rsidRPr="007D45CE" w:rsidRDefault="007B5E3C">
            <w:pPr>
              <w:spacing w:line="293" w:lineRule="atLeast"/>
              <w:jc w:val="right"/>
              <w:rPr>
                <w:rFonts w:ascii="tahoma" w:eastAsia="Times New Roman" w:hAnsi="tahoma" w:cs="Times New Roman"/>
                <w:sz w:val="18"/>
                <w:szCs w:val="18"/>
              </w:rPr>
            </w:pPr>
            <w:r w:rsidRPr="007D45CE">
              <w:rPr>
                <w:rStyle w:val="datavalue"/>
                <w:rFonts w:ascii="tahoma" w:eastAsia="Times New Roman" w:hAnsi="tahoma" w:cs="Times New Roman"/>
                <w:sz w:val="18"/>
                <w:szCs w:val="18"/>
              </w:rPr>
              <w:t>42.8</w:t>
            </w:r>
          </w:p>
        </w:tc>
      </w:tr>
    </w:tbl>
    <w:p w14:paraId="4A7A4531" w14:textId="77777777" w:rsidR="007B5E3C" w:rsidRDefault="007B5E3C" w:rsidP="003829F0">
      <w:pPr>
        <w:rPr>
          <w:b/>
        </w:rPr>
      </w:pPr>
    </w:p>
    <w:p w14:paraId="4FBD4423" w14:textId="77777777" w:rsidR="0002435E" w:rsidRDefault="0002435E" w:rsidP="003829F0">
      <w:pPr>
        <w:rPr>
          <w:b/>
          <w:color w:val="008000"/>
          <w:sz w:val="32"/>
          <w:szCs w:val="32"/>
        </w:rPr>
      </w:pPr>
      <w:r w:rsidRPr="0002435E">
        <w:rPr>
          <w:b/>
          <w:color w:val="008000"/>
          <w:sz w:val="32"/>
          <w:szCs w:val="32"/>
        </w:rPr>
        <w:t>Competitor Information:</w:t>
      </w:r>
    </w:p>
    <w:p w14:paraId="2AEBDCAA" w14:textId="77777777" w:rsidR="0002435E" w:rsidRDefault="0002435E" w:rsidP="003829F0">
      <w:pPr>
        <w:rPr>
          <w:b/>
        </w:rPr>
      </w:pPr>
    </w:p>
    <w:p w14:paraId="357D3974" w14:textId="77777777" w:rsidR="0036613A" w:rsidRDefault="0036613A" w:rsidP="003829F0">
      <w:pPr>
        <w:rPr>
          <w:b/>
        </w:rPr>
      </w:pPr>
      <w:r>
        <w:rPr>
          <w:b/>
        </w:rPr>
        <w:t>Top Competitors in the Oil and Gas industry</w:t>
      </w:r>
    </w:p>
    <w:p w14:paraId="2011ECDC" w14:textId="77777777" w:rsidR="00AD37DC" w:rsidRDefault="00AD37DC" w:rsidP="003829F0">
      <w:pPr>
        <w:rPr>
          <w:b/>
        </w:rPr>
      </w:pPr>
    </w:p>
    <w:p w14:paraId="6AB885F7" w14:textId="77777777" w:rsidR="0036613A" w:rsidRDefault="0036613A" w:rsidP="0036613A">
      <w:pPr>
        <w:pStyle w:val="ListParagraph"/>
        <w:numPr>
          <w:ilvl w:val="0"/>
          <w:numId w:val="6"/>
        </w:numPr>
      </w:pPr>
      <w:r w:rsidRPr="00027D99">
        <w:rPr>
          <w:b/>
        </w:rPr>
        <w:t>Saudi Aramco</w:t>
      </w:r>
      <w:r>
        <w:t xml:space="preserve"> </w:t>
      </w:r>
      <w:r w:rsidR="00983292">
        <w:t>is the leading business in the Oil and Gas industry and is based in Dhahran, Saudi Arabia and was founded in 1933 making it 81 years old</w:t>
      </w:r>
      <w:r w:rsidR="0009789E">
        <w:t xml:space="preserve"> and the top market share in the Oil and Gas industry</w:t>
      </w:r>
    </w:p>
    <w:p w14:paraId="43F850F6" w14:textId="77777777" w:rsidR="00983292" w:rsidRDefault="00983292" w:rsidP="00983292">
      <w:pPr>
        <w:pStyle w:val="ListParagraph"/>
      </w:pPr>
    </w:p>
    <w:p w14:paraId="2846CD5A" w14:textId="77777777" w:rsidR="0036613A" w:rsidRDefault="0036613A" w:rsidP="0036613A">
      <w:pPr>
        <w:pStyle w:val="ListParagraph"/>
        <w:numPr>
          <w:ilvl w:val="0"/>
          <w:numId w:val="6"/>
        </w:numPr>
      </w:pPr>
      <w:r w:rsidRPr="00027D99">
        <w:rPr>
          <w:b/>
        </w:rPr>
        <w:t>Gazprom</w:t>
      </w:r>
      <w:r>
        <w:t xml:space="preserve"> </w:t>
      </w:r>
      <w:r w:rsidR="0009789E">
        <w:t>is the second leading business in the Oil and Gas industry and is based in Moscow, Russia and was founded in 1989 making it 25 years old, although one of the younger businesses in the industry, its BOE production has given it the second highest market share in the industry</w:t>
      </w:r>
    </w:p>
    <w:p w14:paraId="3F40C352" w14:textId="77777777" w:rsidR="00983292" w:rsidRDefault="00983292" w:rsidP="00983292"/>
    <w:p w14:paraId="32920186" w14:textId="77777777" w:rsidR="00983292" w:rsidRDefault="00983292" w:rsidP="00983292">
      <w:pPr>
        <w:pStyle w:val="ListParagraph"/>
      </w:pPr>
    </w:p>
    <w:p w14:paraId="26513844" w14:textId="77777777" w:rsidR="0036613A" w:rsidRDefault="0036613A" w:rsidP="0036613A">
      <w:pPr>
        <w:pStyle w:val="ListParagraph"/>
        <w:numPr>
          <w:ilvl w:val="0"/>
          <w:numId w:val="6"/>
        </w:numPr>
      </w:pPr>
      <w:r w:rsidRPr="00027D99">
        <w:rPr>
          <w:b/>
        </w:rPr>
        <w:t>National Iranian Oil Company</w:t>
      </w:r>
      <w:r>
        <w:t xml:space="preserve"> </w:t>
      </w:r>
      <w:r w:rsidR="00AE2B5C">
        <w:t xml:space="preserve">is another company that leads in the top 5 businesses for market share and </w:t>
      </w:r>
      <w:proofErr w:type="gramStart"/>
      <w:r w:rsidR="00AE2B5C">
        <w:t>are</w:t>
      </w:r>
      <w:proofErr w:type="gramEnd"/>
      <w:r w:rsidR="00AE2B5C">
        <w:t xml:space="preserve"> based in Tehran, Iran where they were founded in 1948 giving them 66 years in the industry.</w:t>
      </w:r>
    </w:p>
    <w:p w14:paraId="14E8403A" w14:textId="77777777" w:rsidR="00983292" w:rsidRDefault="00983292" w:rsidP="00983292">
      <w:pPr>
        <w:pStyle w:val="ListParagraph"/>
      </w:pPr>
    </w:p>
    <w:p w14:paraId="2CF4BB67" w14:textId="77777777" w:rsidR="0036613A" w:rsidRDefault="0036613A" w:rsidP="0036613A">
      <w:pPr>
        <w:pStyle w:val="ListParagraph"/>
        <w:numPr>
          <w:ilvl w:val="0"/>
          <w:numId w:val="6"/>
        </w:numPr>
      </w:pPr>
      <w:r w:rsidRPr="00027D99">
        <w:rPr>
          <w:b/>
        </w:rPr>
        <w:t>ExxonMobil</w:t>
      </w:r>
      <w:r>
        <w:t xml:space="preserve"> </w:t>
      </w:r>
      <w:r w:rsidR="00AE2B5C">
        <w:t>is an American multinational business in the Oil and Gas industry that is based in Irving, Texas</w:t>
      </w:r>
      <w:r w:rsidR="00027D99">
        <w:t>, which was founded in in 1999.  Although they are one of the youngest businesses in the Oil and Gas sector, they are in the top 5 for market share due to their government contracting with other countries allowing them to do multinational drilling at high and efficient rates.</w:t>
      </w:r>
    </w:p>
    <w:p w14:paraId="43C61916" w14:textId="77777777" w:rsidR="00983292" w:rsidRDefault="00983292" w:rsidP="00983292"/>
    <w:p w14:paraId="21BD4373" w14:textId="77777777" w:rsidR="00983292" w:rsidRPr="00027D99" w:rsidRDefault="00983292" w:rsidP="00983292">
      <w:pPr>
        <w:pStyle w:val="ListParagraph"/>
        <w:rPr>
          <w:b/>
        </w:rPr>
      </w:pPr>
    </w:p>
    <w:p w14:paraId="74D1602D" w14:textId="77777777" w:rsidR="0036613A" w:rsidRDefault="0036613A" w:rsidP="0036613A">
      <w:pPr>
        <w:pStyle w:val="ListParagraph"/>
        <w:numPr>
          <w:ilvl w:val="0"/>
          <w:numId w:val="6"/>
        </w:numPr>
      </w:pPr>
      <w:r w:rsidRPr="00027D99">
        <w:rPr>
          <w:b/>
        </w:rPr>
        <w:t>Petro Chi</w:t>
      </w:r>
      <w:r w:rsidR="00027D99" w:rsidRPr="00027D99">
        <w:rPr>
          <w:b/>
        </w:rPr>
        <w:t>na</w:t>
      </w:r>
      <w:r w:rsidR="00027D99">
        <w:t xml:space="preserve"> is China’s biggest Oil and Gas Company located in Beijing, China and founded in 1999.  Being the arm of Chinas Oil and Gas production made Petro China a powerhouse in the oil and gas industry and making them one of the </w:t>
      </w:r>
      <w:r w:rsidR="00AD37DC">
        <w:t xml:space="preserve">top 5 </w:t>
      </w:r>
      <w:proofErr w:type="gramStart"/>
      <w:r w:rsidR="00AD37DC">
        <w:t>business</w:t>
      </w:r>
      <w:proofErr w:type="gramEnd"/>
      <w:r w:rsidR="00AD37DC">
        <w:t xml:space="preserve"> in the market sha</w:t>
      </w:r>
      <w:r w:rsidR="00027D99">
        <w:t>re.</w:t>
      </w:r>
    </w:p>
    <w:p w14:paraId="1F63908A" w14:textId="77777777" w:rsidR="0036613A" w:rsidRDefault="0036613A" w:rsidP="003829F0">
      <w:pPr>
        <w:rPr>
          <w:b/>
        </w:rPr>
      </w:pPr>
    </w:p>
    <w:p w14:paraId="49ACD114" w14:textId="77777777" w:rsidR="0009789E" w:rsidRDefault="00AD37DC" w:rsidP="003829F0">
      <w:pPr>
        <w:rPr>
          <w:b/>
        </w:rPr>
      </w:pPr>
      <w:r w:rsidRPr="00AD37DC">
        <w:rPr>
          <w:b/>
          <w:noProof/>
        </w:rPr>
        <w:drawing>
          <wp:inline distT="0" distB="0" distL="0" distR="0" wp14:anchorId="2875E670" wp14:editId="4E1628CF">
            <wp:extent cx="4572000" cy="332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espie.png"/>
                    <pic:cNvPicPr/>
                  </pic:nvPicPr>
                  <pic:blipFill>
                    <a:blip r:embed="rId7">
                      <a:extLst>
                        <a:ext uri="{28A0092B-C50C-407E-A947-70E740481C1C}">
                          <a14:useLocalDpi xmlns:a14="http://schemas.microsoft.com/office/drawing/2010/main" val="0"/>
                        </a:ext>
                      </a:extLst>
                    </a:blip>
                    <a:stretch>
                      <a:fillRect/>
                    </a:stretch>
                  </pic:blipFill>
                  <pic:spPr>
                    <a:xfrm>
                      <a:off x="0" y="0"/>
                      <a:ext cx="4572000" cy="3327400"/>
                    </a:xfrm>
                    <a:prstGeom prst="rect">
                      <a:avLst/>
                    </a:prstGeom>
                  </pic:spPr>
                </pic:pic>
              </a:graphicData>
            </a:graphic>
          </wp:inline>
        </w:drawing>
      </w:r>
    </w:p>
    <w:p w14:paraId="05DDC908" w14:textId="77777777" w:rsidR="0009789E" w:rsidRPr="0002435E" w:rsidRDefault="0009789E" w:rsidP="003829F0">
      <w:pPr>
        <w:rPr>
          <w:b/>
        </w:rPr>
      </w:pPr>
    </w:p>
    <w:sectPr w:rsidR="0009789E" w:rsidRPr="0002435E" w:rsidSect="00EA28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13F"/>
    <w:multiLevelType w:val="hybridMultilevel"/>
    <w:tmpl w:val="57D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E1DD0"/>
    <w:multiLevelType w:val="hybridMultilevel"/>
    <w:tmpl w:val="153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36B8"/>
    <w:multiLevelType w:val="hybridMultilevel"/>
    <w:tmpl w:val="159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960A1"/>
    <w:multiLevelType w:val="hybridMultilevel"/>
    <w:tmpl w:val="153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65791"/>
    <w:multiLevelType w:val="hybridMultilevel"/>
    <w:tmpl w:val="7FCE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D2397"/>
    <w:multiLevelType w:val="hybridMultilevel"/>
    <w:tmpl w:val="5CB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BB"/>
    <w:rsid w:val="0002435E"/>
    <w:rsid w:val="00027D99"/>
    <w:rsid w:val="0009789E"/>
    <w:rsid w:val="002D2021"/>
    <w:rsid w:val="0036613A"/>
    <w:rsid w:val="003829F0"/>
    <w:rsid w:val="00385118"/>
    <w:rsid w:val="00392BC9"/>
    <w:rsid w:val="00414CC4"/>
    <w:rsid w:val="004A368B"/>
    <w:rsid w:val="0052354F"/>
    <w:rsid w:val="00777FC8"/>
    <w:rsid w:val="007B5E3C"/>
    <w:rsid w:val="007D45CE"/>
    <w:rsid w:val="007E3B28"/>
    <w:rsid w:val="00856B97"/>
    <w:rsid w:val="008B7D91"/>
    <w:rsid w:val="00983292"/>
    <w:rsid w:val="00A77034"/>
    <w:rsid w:val="00AD37DC"/>
    <w:rsid w:val="00AE2B5C"/>
    <w:rsid w:val="00C26CEA"/>
    <w:rsid w:val="00C47298"/>
    <w:rsid w:val="00EA28AA"/>
    <w:rsid w:val="00F824E3"/>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8B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298"/>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7B5E3C"/>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C8"/>
    <w:pPr>
      <w:ind w:left="720"/>
      <w:contextualSpacing/>
    </w:pPr>
  </w:style>
  <w:style w:type="character" w:customStyle="1" w:styleId="Heading1Char">
    <w:name w:val="Heading 1 Char"/>
    <w:basedOn w:val="DefaultParagraphFont"/>
    <w:link w:val="Heading1"/>
    <w:uiPriority w:val="9"/>
    <w:rsid w:val="00C47298"/>
    <w:rPr>
      <w:rFonts w:ascii="Times" w:hAnsi="Times"/>
      <w:b/>
      <w:bCs/>
      <w:kern w:val="36"/>
      <w:sz w:val="48"/>
      <w:szCs w:val="48"/>
    </w:rPr>
  </w:style>
  <w:style w:type="character" w:customStyle="1" w:styleId="apple-converted-space">
    <w:name w:val="apple-converted-space"/>
    <w:basedOn w:val="DefaultParagraphFont"/>
    <w:rsid w:val="00414CC4"/>
  </w:style>
  <w:style w:type="character" w:customStyle="1" w:styleId="Heading3Char">
    <w:name w:val="Heading 3 Char"/>
    <w:basedOn w:val="DefaultParagraphFont"/>
    <w:link w:val="Heading3"/>
    <w:uiPriority w:val="9"/>
    <w:semiHidden/>
    <w:rsid w:val="007B5E3C"/>
    <w:rPr>
      <w:rFonts w:asciiTheme="majorHAnsi" w:eastAsiaTheme="majorEastAsia" w:hAnsiTheme="majorHAnsi" w:cstheme="majorBidi"/>
      <w:b/>
      <w:bCs/>
      <w:color w:val="93A299" w:themeColor="accent1"/>
    </w:rPr>
  </w:style>
  <w:style w:type="paragraph" w:customStyle="1" w:styleId="sub0">
    <w:name w:val="sub0"/>
    <w:basedOn w:val="Normal"/>
    <w:rsid w:val="007B5E3C"/>
    <w:pPr>
      <w:spacing w:before="100" w:beforeAutospacing="1" w:after="100" w:afterAutospacing="1"/>
    </w:pPr>
    <w:rPr>
      <w:rFonts w:ascii="Times" w:hAnsi="Times"/>
      <w:sz w:val="20"/>
      <w:szCs w:val="20"/>
    </w:rPr>
  </w:style>
  <w:style w:type="paragraph" w:customStyle="1" w:styleId="sub1">
    <w:name w:val="sub1"/>
    <w:basedOn w:val="Normal"/>
    <w:rsid w:val="007B5E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B5E3C"/>
    <w:rPr>
      <w:color w:val="0000FF"/>
      <w:u w:val="single"/>
    </w:rPr>
  </w:style>
  <w:style w:type="character" w:customStyle="1" w:styleId="datavalue">
    <w:name w:val="datavalue"/>
    <w:basedOn w:val="DefaultParagraphFont"/>
    <w:rsid w:val="007B5E3C"/>
  </w:style>
  <w:style w:type="character" w:customStyle="1" w:styleId="footnoteid">
    <w:name w:val="footnoteid"/>
    <w:basedOn w:val="DefaultParagraphFont"/>
    <w:rsid w:val="007B5E3C"/>
  </w:style>
  <w:style w:type="paragraph" w:customStyle="1" w:styleId="sub2">
    <w:name w:val="sub2"/>
    <w:basedOn w:val="Normal"/>
    <w:rsid w:val="007B5E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B5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E3C"/>
    <w:rPr>
      <w:rFonts w:ascii="Lucida Grande" w:hAnsi="Lucida Grande"/>
      <w:sz w:val="18"/>
      <w:szCs w:val="18"/>
    </w:rPr>
  </w:style>
  <w:style w:type="character" w:styleId="FollowedHyperlink">
    <w:name w:val="FollowedHyperlink"/>
    <w:basedOn w:val="DefaultParagraphFont"/>
    <w:uiPriority w:val="99"/>
    <w:semiHidden/>
    <w:unhideWhenUsed/>
    <w:rsid w:val="007B5E3C"/>
    <w:rPr>
      <w:color w:val="B2B2B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7298"/>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7B5E3C"/>
    <w:pPr>
      <w:keepNext/>
      <w:keepLines/>
      <w:spacing w:before="20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C8"/>
    <w:pPr>
      <w:ind w:left="720"/>
      <w:contextualSpacing/>
    </w:pPr>
  </w:style>
  <w:style w:type="character" w:customStyle="1" w:styleId="Heading1Char">
    <w:name w:val="Heading 1 Char"/>
    <w:basedOn w:val="DefaultParagraphFont"/>
    <w:link w:val="Heading1"/>
    <w:uiPriority w:val="9"/>
    <w:rsid w:val="00C47298"/>
    <w:rPr>
      <w:rFonts w:ascii="Times" w:hAnsi="Times"/>
      <w:b/>
      <w:bCs/>
      <w:kern w:val="36"/>
      <w:sz w:val="48"/>
      <w:szCs w:val="48"/>
    </w:rPr>
  </w:style>
  <w:style w:type="character" w:customStyle="1" w:styleId="apple-converted-space">
    <w:name w:val="apple-converted-space"/>
    <w:basedOn w:val="DefaultParagraphFont"/>
    <w:rsid w:val="00414CC4"/>
  </w:style>
  <w:style w:type="character" w:customStyle="1" w:styleId="Heading3Char">
    <w:name w:val="Heading 3 Char"/>
    <w:basedOn w:val="DefaultParagraphFont"/>
    <w:link w:val="Heading3"/>
    <w:uiPriority w:val="9"/>
    <w:semiHidden/>
    <w:rsid w:val="007B5E3C"/>
    <w:rPr>
      <w:rFonts w:asciiTheme="majorHAnsi" w:eastAsiaTheme="majorEastAsia" w:hAnsiTheme="majorHAnsi" w:cstheme="majorBidi"/>
      <w:b/>
      <w:bCs/>
      <w:color w:val="93A299" w:themeColor="accent1"/>
    </w:rPr>
  </w:style>
  <w:style w:type="paragraph" w:customStyle="1" w:styleId="sub0">
    <w:name w:val="sub0"/>
    <w:basedOn w:val="Normal"/>
    <w:rsid w:val="007B5E3C"/>
    <w:pPr>
      <w:spacing w:before="100" w:beforeAutospacing="1" w:after="100" w:afterAutospacing="1"/>
    </w:pPr>
    <w:rPr>
      <w:rFonts w:ascii="Times" w:hAnsi="Times"/>
      <w:sz w:val="20"/>
      <w:szCs w:val="20"/>
    </w:rPr>
  </w:style>
  <w:style w:type="paragraph" w:customStyle="1" w:styleId="sub1">
    <w:name w:val="sub1"/>
    <w:basedOn w:val="Normal"/>
    <w:rsid w:val="007B5E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B5E3C"/>
    <w:rPr>
      <w:color w:val="0000FF"/>
      <w:u w:val="single"/>
    </w:rPr>
  </w:style>
  <w:style w:type="character" w:customStyle="1" w:styleId="datavalue">
    <w:name w:val="datavalue"/>
    <w:basedOn w:val="DefaultParagraphFont"/>
    <w:rsid w:val="007B5E3C"/>
  </w:style>
  <w:style w:type="character" w:customStyle="1" w:styleId="footnoteid">
    <w:name w:val="footnoteid"/>
    <w:basedOn w:val="DefaultParagraphFont"/>
    <w:rsid w:val="007B5E3C"/>
  </w:style>
  <w:style w:type="paragraph" w:customStyle="1" w:styleId="sub2">
    <w:name w:val="sub2"/>
    <w:basedOn w:val="Normal"/>
    <w:rsid w:val="007B5E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B5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7B5E3C"/>
    <w:rPr>
      <w:rFonts w:ascii="Lucida Grande" w:hAnsi="Lucida Grande"/>
      <w:sz w:val="18"/>
      <w:szCs w:val="18"/>
    </w:rPr>
  </w:style>
  <w:style w:type="character" w:styleId="FollowedHyperlink">
    <w:name w:val="FollowedHyperlink"/>
    <w:basedOn w:val="DefaultParagraphFont"/>
    <w:uiPriority w:val="99"/>
    <w:semiHidden/>
    <w:unhideWhenUsed/>
    <w:rsid w:val="007B5E3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769">
      <w:bodyDiv w:val="1"/>
      <w:marLeft w:val="0"/>
      <w:marRight w:val="0"/>
      <w:marTop w:val="0"/>
      <w:marBottom w:val="0"/>
      <w:divBdr>
        <w:top w:val="none" w:sz="0" w:space="0" w:color="auto"/>
        <w:left w:val="none" w:sz="0" w:space="0" w:color="auto"/>
        <w:bottom w:val="none" w:sz="0" w:space="0" w:color="auto"/>
        <w:right w:val="none" w:sz="0" w:space="0" w:color="auto"/>
      </w:divBdr>
    </w:div>
    <w:div w:id="316954887">
      <w:bodyDiv w:val="1"/>
      <w:marLeft w:val="0"/>
      <w:marRight w:val="0"/>
      <w:marTop w:val="0"/>
      <w:marBottom w:val="0"/>
      <w:divBdr>
        <w:top w:val="none" w:sz="0" w:space="0" w:color="auto"/>
        <w:left w:val="none" w:sz="0" w:space="0" w:color="auto"/>
        <w:bottom w:val="none" w:sz="0" w:space="0" w:color="auto"/>
        <w:right w:val="none" w:sz="0" w:space="0" w:color="auto"/>
      </w:divBdr>
    </w:div>
    <w:div w:id="397292718">
      <w:bodyDiv w:val="1"/>
      <w:marLeft w:val="0"/>
      <w:marRight w:val="0"/>
      <w:marTop w:val="0"/>
      <w:marBottom w:val="0"/>
      <w:divBdr>
        <w:top w:val="none" w:sz="0" w:space="0" w:color="auto"/>
        <w:left w:val="none" w:sz="0" w:space="0" w:color="auto"/>
        <w:bottom w:val="none" w:sz="0" w:space="0" w:color="auto"/>
        <w:right w:val="none" w:sz="0" w:space="0" w:color="auto"/>
      </w:divBdr>
    </w:div>
    <w:div w:id="411195419">
      <w:bodyDiv w:val="1"/>
      <w:marLeft w:val="0"/>
      <w:marRight w:val="0"/>
      <w:marTop w:val="0"/>
      <w:marBottom w:val="0"/>
      <w:divBdr>
        <w:top w:val="none" w:sz="0" w:space="0" w:color="auto"/>
        <w:left w:val="none" w:sz="0" w:space="0" w:color="auto"/>
        <w:bottom w:val="none" w:sz="0" w:space="0" w:color="auto"/>
        <w:right w:val="none" w:sz="0" w:space="0" w:color="auto"/>
      </w:divBdr>
    </w:div>
    <w:div w:id="675889248">
      <w:bodyDiv w:val="1"/>
      <w:marLeft w:val="0"/>
      <w:marRight w:val="0"/>
      <w:marTop w:val="0"/>
      <w:marBottom w:val="0"/>
      <w:divBdr>
        <w:top w:val="none" w:sz="0" w:space="0" w:color="auto"/>
        <w:left w:val="none" w:sz="0" w:space="0" w:color="auto"/>
        <w:bottom w:val="none" w:sz="0" w:space="0" w:color="auto"/>
        <w:right w:val="none" w:sz="0" w:space="0" w:color="auto"/>
      </w:divBdr>
    </w:div>
    <w:div w:id="927151535">
      <w:bodyDiv w:val="1"/>
      <w:marLeft w:val="0"/>
      <w:marRight w:val="0"/>
      <w:marTop w:val="0"/>
      <w:marBottom w:val="0"/>
      <w:divBdr>
        <w:top w:val="none" w:sz="0" w:space="0" w:color="auto"/>
        <w:left w:val="none" w:sz="0" w:space="0" w:color="auto"/>
        <w:bottom w:val="none" w:sz="0" w:space="0" w:color="auto"/>
        <w:right w:val="none" w:sz="0" w:space="0" w:color="auto"/>
      </w:divBdr>
    </w:div>
    <w:div w:id="1155298254">
      <w:bodyDiv w:val="1"/>
      <w:marLeft w:val="0"/>
      <w:marRight w:val="0"/>
      <w:marTop w:val="0"/>
      <w:marBottom w:val="0"/>
      <w:divBdr>
        <w:top w:val="none" w:sz="0" w:space="0" w:color="auto"/>
        <w:left w:val="none" w:sz="0" w:space="0" w:color="auto"/>
        <w:bottom w:val="none" w:sz="0" w:space="0" w:color="auto"/>
        <w:right w:val="none" w:sz="0" w:space="0" w:color="auto"/>
      </w:divBdr>
    </w:div>
    <w:div w:id="1214347156">
      <w:bodyDiv w:val="1"/>
      <w:marLeft w:val="0"/>
      <w:marRight w:val="0"/>
      <w:marTop w:val="0"/>
      <w:marBottom w:val="0"/>
      <w:divBdr>
        <w:top w:val="none" w:sz="0" w:space="0" w:color="auto"/>
        <w:left w:val="none" w:sz="0" w:space="0" w:color="auto"/>
        <w:bottom w:val="none" w:sz="0" w:space="0" w:color="auto"/>
        <w:right w:val="none" w:sz="0" w:space="0" w:color="auto"/>
      </w:divBdr>
    </w:div>
    <w:div w:id="1298560206">
      <w:bodyDiv w:val="1"/>
      <w:marLeft w:val="0"/>
      <w:marRight w:val="0"/>
      <w:marTop w:val="0"/>
      <w:marBottom w:val="0"/>
      <w:divBdr>
        <w:top w:val="none" w:sz="0" w:space="0" w:color="auto"/>
        <w:left w:val="none" w:sz="0" w:space="0" w:color="auto"/>
        <w:bottom w:val="none" w:sz="0" w:space="0" w:color="auto"/>
        <w:right w:val="none" w:sz="0" w:space="0" w:color="auto"/>
      </w:divBdr>
    </w:div>
    <w:div w:id="1373263197">
      <w:bodyDiv w:val="1"/>
      <w:marLeft w:val="0"/>
      <w:marRight w:val="0"/>
      <w:marTop w:val="0"/>
      <w:marBottom w:val="0"/>
      <w:divBdr>
        <w:top w:val="none" w:sz="0" w:space="0" w:color="auto"/>
        <w:left w:val="none" w:sz="0" w:space="0" w:color="auto"/>
        <w:bottom w:val="none" w:sz="0" w:space="0" w:color="auto"/>
        <w:right w:val="none" w:sz="0" w:space="0" w:color="auto"/>
      </w:divBdr>
    </w:div>
    <w:div w:id="147089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ECE0-82A9-B440-A95B-B86C810C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5127</Characters>
  <Application>Microsoft Macintosh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Williams</dc:creator>
  <cp:keywords/>
  <dc:description/>
  <cp:lastModifiedBy>Christian Williams</cp:lastModifiedBy>
  <cp:revision>2</cp:revision>
  <dcterms:created xsi:type="dcterms:W3CDTF">2014-05-08T04:00:00Z</dcterms:created>
  <dcterms:modified xsi:type="dcterms:W3CDTF">2014-05-08T04:00:00Z</dcterms:modified>
</cp:coreProperties>
</file>